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0A96" w:rsidRDefault="00510A96" w:rsidP="0057445C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57445C" w:rsidRDefault="00273F3D" w:rsidP="0057445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73F3D">
        <w:rPr>
          <w:rFonts w:ascii="Times New Roman" w:hAnsi="Times New Roman" w:cs="Times New Roman"/>
          <w:b/>
          <w:sz w:val="24"/>
          <w:szCs w:val="24"/>
        </w:rPr>
        <w:t xml:space="preserve">Приложение№ </w:t>
      </w:r>
      <w:r w:rsidR="001A15C4">
        <w:rPr>
          <w:rFonts w:ascii="Times New Roman" w:hAnsi="Times New Roman" w:cs="Times New Roman"/>
          <w:b/>
          <w:sz w:val="24"/>
          <w:szCs w:val="24"/>
        </w:rPr>
        <w:t>7</w:t>
      </w:r>
    </w:p>
    <w:p w:rsidR="009E2605" w:rsidRPr="00286C13" w:rsidRDefault="0057445C" w:rsidP="0057445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286C13">
        <w:rPr>
          <w:sz w:val="20"/>
          <w:szCs w:val="20"/>
        </w:rPr>
        <w:t xml:space="preserve"> </w:t>
      </w:r>
      <w:r w:rsidR="009E2605" w:rsidRPr="00286C13">
        <w:rPr>
          <w:rFonts w:ascii="Times New Roman" w:hAnsi="Times New Roman" w:cs="Times New Roman"/>
          <w:sz w:val="24"/>
          <w:szCs w:val="24"/>
        </w:rPr>
        <w:t>Към Условията за кандидатстване</w:t>
      </w:r>
      <w:r w:rsidRPr="00286C13">
        <w:rPr>
          <w:rFonts w:ascii="Times New Roman" w:hAnsi="Times New Roman" w:cs="Times New Roman"/>
          <w:sz w:val="24"/>
          <w:szCs w:val="24"/>
        </w:rPr>
        <w:t xml:space="preserve"> </w:t>
      </w:r>
      <w:r w:rsidR="001A15C4" w:rsidRPr="00286C13">
        <w:rPr>
          <w:rFonts w:ascii="Times New Roman" w:hAnsi="Times New Roman" w:cs="Times New Roman"/>
          <w:sz w:val="24"/>
          <w:szCs w:val="24"/>
        </w:rPr>
        <w:t>/</w:t>
      </w:r>
      <w:r w:rsidRPr="00286C13">
        <w:rPr>
          <w:rFonts w:ascii="Times New Roman" w:hAnsi="Times New Roman" w:cs="Times New Roman"/>
          <w:sz w:val="24"/>
          <w:szCs w:val="24"/>
        </w:rPr>
        <w:t xml:space="preserve"> </w:t>
      </w:r>
      <w:r w:rsidR="001A15C4" w:rsidRPr="00286C13">
        <w:rPr>
          <w:rFonts w:ascii="Times New Roman" w:hAnsi="Times New Roman" w:cs="Times New Roman"/>
          <w:sz w:val="24"/>
          <w:szCs w:val="24"/>
        </w:rPr>
        <w:t>Документи за информация</w:t>
      </w:r>
    </w:p>
    <w:bookmarkEnd w:id="0"/>
    <w:p w:rsidR="0057445C" w:rsidRDefault="0057445C" w:rsidP="0057445C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7445C" w:rsidRPr="009E2605" w:rsidRDefault="0057445C" w:rsidP="0057445C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73F3D" w:rsidRDefault="0057445C" w:rsidP="0057445C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АНАЛИЗ ЗА СОЦИАЛНО-ИКОНОМИЧЕСКИТЕ ПОЛЗИ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ЗА РАЗВИТИЕТО НА СЕЛСКИЯ РАЙОН И УСТОЙЧИВОСТТА НА </w:t>
      </w:r>
      <w:r w:rsidRP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ИНВЕСТИЦИЯТА </w:t>
      </w:r>
    </w:p>
    <w:p w:rsidR="0057445C" w:rsidRDefault="0057445C" w:rsidP="0057445C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273F3D" w:rsidRDefault="00273F3D" w:rsidP="0057445C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1. Анализ на текущото състояние и проблеми в селския район: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 </w:t>
      </w:r>
    </w:p>
    <w:p w:rsidR="00273F3D" w:rsidRDefault="00273F3D" w:rsidP="0057445C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1.1. Демографска структура на местното население (възраст, пол, етническа принадлежност, доход, заетост, ниво на образование, здравен статус – в случай на проект за изграждане на социална инфраструктура);</w:t>
      </w:r>
    </w:p>
    <w:p w:rsidR="00273F3D" w:rsidRDefault="00273F3D" w:rsidP="0057445C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1.2. Предлагани обществени услуги и инфраструктура, измерени в подходящи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мерни единици (например на глава от населението за спортни и образователни; кв.м за площи за обществено ползване; брой и км 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улици</w:t>
      </w:r>
      <w:r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); разпределение на услугите по населени места;</w:t>
      </w:r>
    </w:p>
    <w:p w:rsidR="00273F3D" w:rsidRDefault="00273F3D" w:rsidP="0057445C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1.3. Заетост и доходи (ниво на безработица в момента и в исторически план; какво е съотношението по пол, етническа принадлежност и т.н.; средна заплата).</w:t>
      </w:r>
    </w:p>
    <w:p w:rsidR="00273F3D" w:rsidRDefault="00273F3D" w:rsidP="0057445C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2. Идентифицирани конкретни нужди, цели и приоритети вследствие на анализа на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 </w:t>
      </w:r>
      <w:r w:rsidRP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текущото състояние и проблеми в селския район и във връзка с местните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с</w:t>
      </w:r>
      <w:r w:rsidRP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тратегии и общинските планове за развитие при отчитане целите и приоритетите на ПРСР 2014 – 2020.</w:t>
      </w:r>
    </w:p>
    <w:p w:rsidR="00273F3D" w:rsidRDefault="00273F3D" w:rsidP="0057445C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3. Принос на избрания проект за подобряване условията на живот в селския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 </w:t>
      </w:r>
      <w:r w:rsidRP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район (Формулиране конкретните цели на проек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та в контекста на общите цели и </w:t>
      </w:r>
      <w:r w:rsidRP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приоритети на местно ниво, както и степента, до която проектът ще посрещне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 </w:t>
      </w:r>
      <w:r w:rsidRP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реалните нужди):</w:t>
      </w:r>
    </w:p>
    <w:p w:rsidR="00273F3D" w:rsidRDefault="00273F3D" w:rsidP="0057445C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3.1. Демографско влияние (брой и групи население, към които е насочен проектът);</w:t>
      </w:r>
    </w:p>
    <w:p w:rsidR="00273F3D" w:rsidRDefault="00273F3D" w:rsidP="0057445C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3.2. Влияние върху предоставяните обществени услуги (подобряване достъпа до обществени услуги; разнообразяване и/или подобряване качеството на услугите; привличане на не-резиденти като туристи или с цел заетост);</w:t>
      </w:r>
    </w:p>
    <w:p w:rsidR="0057445C" w:rsidRDefault="0057445C" w:rsidP="0057445C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57445C" w:rsidRDefault="0057445C" w:rsidP="0057445C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57445C" w:rsidRDefault="0057445C" w:rsidP="0057445C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273F3D" w:rsidRDefault="00273F3D" w:rsidP="0057445C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3.3. Влияние върху заетостта и доходите (вкл. трудовата мобилност и привличане на не-резиденти с цел заетост – разкриване на нови работни места – временни за целите на проекта и/или постоянни; промяна в размера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структурата на доходите);</w:t>
      </w:r>
    </w:p>
    <w:p w:rsidR="00273F3D" w:rsidRDefault="00273F3D" w:rsidP="0057445C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3.4. Влияние върху качеството на живот.</w:t>
      </w:r>
    </w:p>
    <w:p w:rsidR="00273F3D" w:rsidRDefault="00273F3D" w:rsidP="0057445C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273F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4. Анализ на устойчивостта на инвестицията:</w:t>
      </w:r>
    </w:p>
    <w:p w:rsidR="00273F3D" w:rsidRDefault="00273F3D" w:rsidP="0057445C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4.1. Уместност и приемливост (степента, до която проектът отговаря на действителните нужди и целите му, съгласувани с приоритетите на национално, секторно, местно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</w:t>
      </w:r>
      <w:r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иво);</w:t>
      </w:r>
    </w:p>
    <w:p w:rsidR="00273F3D" w:rsidRDefault="00273F3D" w:rsidP="0057445C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4.2. Капацитет за продължаване на предоставяне на услугата и поддръжка (кой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ще е отговорен за оперирането и поддръжката – идентифицирани ли са източниците на необходимите финансови средства, осигурени ли са необходимите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човешки ресурси, оборудване); </w:t>
      </w:r>
    </w:p>
    <w:p w:rsidR="00273F3D" w:rsidRDefault="00273F3D" w:rsidP="0057445C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4.3. Продължителност на участието на местната общност (за проекти, където активното участие на общността е от решаващо значение както за стимулирането на продължаването на предоставянето на услугата, така и за възстановяването на разходите по предоставянето й);</w:t>
      </w:r>
    </w:p>
    <w:p w:rsidR="00273F3D" w:rsidRPr="00273F3D" w:rsidRDefault="00273F3D" w:rsidP="0057445C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273F3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4.4. Екологична стабилност (дали проектът е взел предвид влиянието върху околната среда, така че негативните въздействия да бъдат или избегнати, или намалени).</w:t>
      </w:r>
    </w:p>
    <w:sectPr w:rsidR="00273F3D" w:rsidRPr="00273F3D" w:rsidSect="00510A9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4DC3" w:rsidRDefault="00D04DC3" w:rsidP="00510A96">
      <w:pPr>
        <w:spacing w:after="0" w:line="240" w:lineRule="auto"/>
      </w:pPr>
      <w:r>
        <w:separator/>
      </w:r>
    </w:p>
  </w:endnote>
  <w:endnote w:type="continuationSeparator" w:id="0">
    <w:p w:rsidR="00D04DC3" w:rsidRDefault="00D04DC3" w:rsidP="00510A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51FB" w:rsidRDefault="009F51F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51D1" w:rsidRPr="000A51D1" w:rsidRDefault="000A51D1" w:rsidP="000A51D1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ind w:left="708"/>
      <w:jc w:val="center"/>
      <w:rPr>
        <w:rFonts w:ascii="Times New Roman" w:eastAsia="Calibri" w:hAnsi="Times New Roman" w:cs="Times New Roman"/>
        <w:b/>
        <w:i/>
        <w:color w:val="2F5496"/>
        <w:sz w:val="20"/>
      </w:rPr>
    </w:pPr>
    <w:bookmarkStart w:id="2" w:name="_Hlk507595134"/>
    <w:r w:rsidRPr="000A51D1">
      <w:rPr>
        <w:rFonts w:ascii="Times New Roman" w:eastAsia="Calibri" w:hAnsi="Times New Roman" w:cs="Times New Roman"/>
        <w:b/>
        <w:i/>
        <w:color w:val="2F5496"/>
        <w:sz w:val="20"/>
      </w:rPr>
      <w:t>Споразумение за изпълнение на СВОМР №РД50-40/24.04.2018 г.</w:t>
    </w:r>
  </w:p>
  <w:p w:rsidR="000A51D1" w:rsidRPr="000A51D1" w:rsidRDefault="000A51D1" w:rsidP="000A51D1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ind w:left="708"/>
      <w:jc w:val="center"/>
      <w:rPr>
        <w:rFonts w:ascii="Times New Roman" w:eastAsia="Calibri" w:hAnsi="Times New Roman" w:cs="Times New Roman"/>
        <w:i/>
        <w:sz w:val="20"/>
      </w:rPr>
    </w:pPr>
    <w:r w:rsidRPr="000A51D1">
      <w:rPr>
        <w:rFonts w:ascii="Times New Roman" w:eastAsia="Calibri" w:hAnsi="Times New Roman" w:cs="Times New Roman"/>
        <w:i/>
        <w:sz w:val="20"/>
      </w:rPr>
      <w:t>Сдружение „Местна инициативна група –Лом“,гр.Лом,  ул.“Георги Манафски“ № 19, ет.2     тел:0971/2 90 02.е-</w:t>
    </w:r>
    <w:r w:rsidRPr="000A51D1">
      <w:rPr>
        <w:rFonts w:ascii="Times New Roman" w:eastAsia="Calibri" w:hAnsi="Times New Roman" w:cs="Times New Roman"/>
        <w:i/>
        <w:sz w:val="20"/>
        <w:lang w:val="en-US"/>
      </w:rPr>
      <w:t xml:space="preserve">mail: </w:t>
    </w:r>
    <w:hyperlink r:id="rId1" w:history="1">
      <w:r w:rsidRPr="000A51D1">
        <w:rPr>
          <w:rFonts w:ascii="Times New Roman" w:eastAsia="Calibri" w:hAnsi="Times New Roman" w:cs="Times New Roman"/>
          <w:i/>
          <w:color w:val="0563C1"/>
          <w:sz w:val="20"/>
          <w:u w:val="single"/>
          <w:lang w:val="en-US"/>
        </w:rPr>
        <w:t>office@miglom.org</w:t>
      </w:r>
    </w:hyperlink>
    <w:r w:rsidRPr="000A51D1">
      <w:rPr>
        <w:rFonts w:ascii="Times New Roman" w:eastAsia="Calibri" w:hAnsi="Times New Roman" w:cs="Times New Roman"/>
        <w:i/>
        <w:sz w:val="20"/>
        <w:lang w:val="en-US"/>
      </w:rPr>
      <w:t xml:space="preserve">  </w:t>
    </w:r>
    <w:r w:rsidRPr="000A51D1">
      <w:rPr>
        <w:rFonts w:ascii="Times New Roman" w:eastAsia="Calibri" w:hAnsi="Times New Roman" w:cs="Times New Roman"/>
        <w:i/>
        <w:sz w:val="20"/>
      </w:rPr>
      <w:t>,</w:t>
    </w:r>
    <w:r w:rsidRPr="000A51D1">
      <w:rPr>
        <w:rFonts w:ascii="Times New Roman" w:eastAsia="Times New Roman" w:hAnsi="Times New Roman" w:cs="Times New Roman"/>
        <w:sz w:val="24"/>
        <w:szCs w:val="24"/>
        <w:lang w:eastAsia="bg-BG"/>
      </w:rPr>
      <w:t xml:space="preserve"> </w:t>
    </w:r>
    <w:r w:rsidRPr="000A51D1">
      <w:rPr>
        <w:rFonts w:ascii="Times New Roman" w:eastAsia="Calibri" w:hAnsi="Times New Roman" w:cs="Times New Roman"/>
        <w:i/>
        <w:sz w:val="20"/>
      </w:rPr>
      <w:t xml:space="preserve">email: </w:t>
    </w:r>
    <w:hyperlink r:id="rId2" w:history="1">
      <w:r w:rsidRPr="000A51D1">
        <w:rPr>
          <w:rFonts w:ascii="Times New Roman" w:eastAsia="Calibri" w:hAnsi="Times New Roman" w:cs="Times New Roman"/>
          <w:i/>
          <w:color w:val="0563C1"/>
          <w:sz w:val="20"/>
          <w:u w:val="single"/>
        </w:rPr>
        <w:t>miglom@abv.bg</w:t>
      </w:r>
    </w:hyperlink>
  </w:p>
  <w:p w:rsidR="000A51D1" w:rsidRPr="000A51D1" w:rsidRDefault="000A51D1" w:rsidP="000A51D1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ind w:left="708"/>
      <w:jc w:val="center"/>
      <w:rPr>
        <w:rFonts w:ascii="Times New Roman" w:eastAsia="Calibri" w:hAnsi="Times New Roman" w:cs="Times New Roman"/>
        <w:i/>
        <w:sz w:val="20"/>
      </w:rPr>
    </w:pPr>
    <w:r w:rsidRPr="000A51D1">
      <w:rPr>
        <w:rFonts w:ascii="Times New Roman" w:eastAsia="Calibri" w:hAnsi="Times New Roman" w:cs="Times New Roman"/>
        <w:i/>
        <w:sz w:val="20"/>
        <w:lang w:val="en-US"/>
      </w:rPr>
      <w:t>www.</w:t>
    </w:r>
    <w:r w:rsidRPr="000A51D1">
      <w:rPr>
        <w:rFonts w:ascii="Times New Roman" w:eastAsia="Times New Roman" w:hAnsi="Times New Roman" w:cs="Times New Roman"/>
        <w:sz w:val="24"/>
        <w:szCs w:val="24"/>
        <w:lang w:eastAsia="bg-BG"/>
      </w:rPr>
      <w:t xml:space="preserve"> </w:t>
    </w:r>
    <w:hyperlink r:id="rId3" w:history="1">
      <w:r w:rsidRPr="000A51D1">
        <w:rPr>
          <w:rFonts w:ascii="Times New Roman" w:eastAsia="Calibri" w:hAnsi="Times New Roman" w:cs="Times New Roman"/>
          <w:i/>
          <w:color w:val="0563C1"/>
          <w:sz w:val="20"/>
          <w:u w:val="single"/>
          <w:lang w:val="en-US"/>
        </w:rPr>
        <w:t>http://miglom.org/</w:t>
      </w:r>
    </w:hyperlink>
  </w:p>
  <w:bookmarkEnd w:id="2"/>
  <w:p w:rsidR="000A51D1" w:rsidRPr="000A51D1" w:rsidRDefault="000A51D1" w:rsidP="000A51D1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sz w:val="20"/>
      </w:rPr>
    </w:pPr>
  </w:p>
  <w:p w:rsidR="00510A96" w:rsidRPr="000A51D1" w:rsidRDefault="00510A96" w:rsidP="000A51D1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51FB" w:rsidRDefault="009F51F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4DC3" w:rsidRDefault="00D04DC3" w:rsidP="00510A96">
      <w:pPr>
        <w:spacing w:after="0" w:line="240" w:lineRule="auto"/>
      </w:pPr>
      <w:r>
        <w:separator/>
      </w:r>
    </w:p>
  </w:footnote>
  <w:footnote w:type="continuationSeparator" w:id="0">
    <w:p w:rsidR="00D04DC3" w:rsidRDefault="00D04DC3" w:rsidP="00510A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51FB" w:rsidRDefault="009F51F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1" w:rightFromText="141" w:vertAnchor="page" w:horzAnchor="margin" w:tblpXSpec="center" w:tblpY="16"/>
      <w:tblW w:w="5287" w:type="pct"/>
      <w:tblLayout w:type="fixed"/>
      <w:tblLook w:val="01E0" w:firstRow="1" w:lastRow="1" w:firstColumn="1" w:lastColumn="1" w:noHBand="0" w:noVBand="0"/>
    </w:tblPr>
    <w:tblGrid>
      <w:gridCol w:w="1797"/>
      <w:gridCol w:w="1978"/>
      <w:gridCol w:w="2623"/>
      <w:gridCol w:w="1629"/>
      <w:gridCol w:w="1566"/>
    </w:tblGrid>
    <w:tr w:rsidR="009F51FB" w:rsidRPr="009F51FB" w:rsidTr="006F7957">
      <w:trPr>
        <w:trHeight w:val="1890"/>
      </w:trPr>
      <w:tc>
        <w:tcPr>
          <w:tcW w:w="937" w:type="pct"/>
          <w:vAlign w:val="center"/>
          <w:hideMark/>
        </w:tcPr>
        <w:p w:rsidR="009F51FB" w:rsidRPr="009F51FB" w:rsidRDefault="009F51FB" w:rsidP="009F51FB">
          <w:pPr>
            <w:widowControl w:val="0"/>
            <w:autoSpaceDE w:val="0"/>
            <w:autoSpaceDN w:val="0"/>
            <w:adjustRightInd w:val="0"/>
            <w:jc w:val="center"/>
            <w:rPr>
              <w:rFonts w:ascii="Calibri" w:eastAsia="Calibri" w:hAnsi="Calibri" w:cs="Times New Roman"/>
              <w:noProof/>
              <w:color w:val="000000"/>
              <w:sz w:val="18"/>
              <w:szCs w:val="18"/>
              <w:lang w:val="en-US"/>
            </w:rPr>
          </w:pPr>
          <w:bookmarkStart w:id="1" w:name="_Hlk518666856"/>
        </w:p>
        <w:p w:rsidR="009F51FB" w:rsidRPr="009F51FB" w:rsidRDefault="009F51FB" w:rsidP="009F51FB">
          <w:pPr>
            <w:widowControl w:val="0"/>
            <w:autoSpaceDE w:val="0"/>
            <w:autoSpaceDN w:val="0"/>
            <w:adjustRightInd w:val="0"/>
            <w:jc w:val="center"/>
            <w:rPr>
              <w:rFonts w:ascii="Calibri" w:eastAsia="Calibri" w:hAnsi="Calibri" w:cs="Times New Roman"/>
              <w:noProof/>
              <w:color w:val="000000"/>
              <w:sz w:val="18"/>
              <w:szCs w:val="18"/>
              <w:lang w:val="en-US"/>
            </w:rPr>
          </w:pPr>
          <w:r w:rsidRPr="009F51FB">
            <w:rPr>
              <w:rFonts w:ascii="Calibri" w:eastAsia="Calibri" w:hAnsi="Calibri" w:cs="Times New Roman"/>
              <w:noProof/>
              <w:color w:val="000000"/>
              <w:sz w:val="18"/>
              <w:szCs w:val="18"/>
              <w:lang w:val="en-US"/>
            </w:rPr>
            <w:drawing>
              <wp:inline distT="0" distB="0" distL="0" distR="0">
                <wp:extent cx="847725" cy="676275"/>
                <wp:effectExtent l="0" t="0" r="9525" b="9525"/>
                <wp:docPr id="10" name="Pictur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7725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9F51FB">
            <w:rPr>
              <w:rFonts w:ascii="Calibri" w:eastAsia="Calibri" w:hAnsi="Calibri" w:cs="Times New Roman"/>
              <w:noProof/>
              <w:color w:val="000000"/>
              <w:sz w:val="18"/>
              <w:szCs w:val="18"/>
            </w:rPr>
            <w:t xml:space="preserve"> Европейски съюз</w:t>
          </w:r>
        </w:p>
      </w:tc>
      <w:tc>
        <w:tcPr>
          <w:tcW w:w="1031" w:type="pct"/>
          <w:hideMark/>
        </w:tcPr>
        <w:p w:rsidR="009F51FB" w:rsidRPr="009F51FB" w:rsidRDefault="009F51FB" w:rsidP="009F51FB">
          <w:pPr>
            <w:widowControl w:val="0"/>
            <w:autoSpaceDE w:val="0"/>
            <w:autoSpaceDN w:val="0"/>
            <w:adjustRightInd w:val="0"/>
            <w:ind w:left="-108"/>
            <w:jc w:val="center"/>
            <w:rPr>
              <w:rFonts w:ascii="Calibri" w:eastAsia="Calibri" w:hAnsi="Calibri" w:cs="Times New Roman"/>
              <w:i/>
              <w:iCs/>
              <w:noProof/>
              <w:color w:val="000000"/>
              <w:sz w:val="18"/>
              <w:szCs w:val="18"/>
            </w:rPr>
          </w:pPr>
        </w:p>
        <w:p w:rsidR="009F51FB" w:rsidRPr="009F51FB" w:rsidRDefault="009F51FB" w:rsidP="009F51FB">
          <w:pPr>
            <w:widowControl w:val="0"/>
            <w:autoSpaceDE w:val="0"/>
            <w:autoSpaceDN w:val="0"/>
            <w:adjustRightInd w:val="0"/>
            <w:ind w:left="-108"/>
            <w:jc w:val="center"/>
            <w:rPr>
              <w:rFonts w:ascii="Calibri" w:eastAsia="Calibri" w:hAnsi="Calibri" w:cs="Times New Roman"/>
              <w:i/>
              <w:iCs/>
              <w:noProof/>
              <w:color w:val="000000"/>
              <w:sz w:val="18"/>
              <w:szCs w:val="18"/>
            </w:rPr>
          </w:pPr>
          <w:r w:rsidRPr="009F51FB">
            <w:rPr>
              <w:rFonts w:ascii="Calibri" w:eastAsia="Calibri" w:hAnsi="Calibri" w:cs="Times New Roman"/>
              <w:i/>
              <w:noProof/>
              <w:color w:val="000000"/>
              <w:sz w:val="18"/>
              <w:szCs w:val="18"/>
              <w:lang w:val="en-US"/>
            </w:rPr>
            <w:drawing>
              <wp:inline distT="0" distB="0" distL="0" distR="0">
                <wp:extent cx="895350" cy="647700"/>
                <wp:effectExtent l="19050" t="19050" r="19050" b="19050"/>
                <wp:docPr id="9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6477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67" w:type="pct"/>
          <w:vAlign w:val="center"/>
          <w:hideMark/>
        </w:tcPr>
        <w:p w:rsidR="009F51FB" w:rsidRPr="009F51FB" w:rsidRDefault="009F51FB" w:rsidP="009F51FB">
          <w:pPr>
            <w:widowControl w:val="0"/>
            <w:autoSpaceDE w:val="0"/>
            <w:autoSpaceDN w:val="0"/>
            <w:adjustRightInd w:val="0"/>
            <w:ind w:left="-221"/>
            <w:rPr>
              <w:rFonts w:ascii="Calibri" w:eastAsia="Calibri" w:hAnsi="Calibri" w:cs="Times New Roman"/>
              <w:color w:val="000000"/>
              <w:sz w:val="16"/>
              <w:szCs w:val="16"/>
            </w:rPr>
          </w:pPr>
          <w:r w:rsidRPr="009F51FB">
            <w:rPr>
              <w:rFonts w:ascii="Calibri" w:eastAsia="Calibri" w:hAnsi="Calibri" w:cs="Times New Roman"/>
              <w:noProof/>
              <w:color w:val="000000"/>
              <w:sz w:val="16"/>
              <w:szCs w:val="16"/>
              <w:lang w:val="en-US"/>
            </w:rPr>
            <w:drawing>
              <wp:inline distT="0" distB="0" distL="0" distR="0">
                <wp:extent cx="1866900" cy="819150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6690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9" w:type="pct"/>
          <w:hideMark/>
        </w:tcPr>
        <w:p w:rsidR="009F51FB" w:rsidRPr="009F51FB" w:rsidRDefault="009F51FB" w:rsidP="009F51FB">
          <w:pPr>
            <w:widowControl w:val="0"/>
            <w:autoSpaceDE w:val="0"/>
            <w:autoSpaceDN w:val="0"/>
            <w:adjustRightInd w:val="0"/>
            <w:ind w:left="-108"/>
            <w:jc w:val="center"/>
            <w:rPr>
              <w:rFonts w:ascii="Calibri" w:eastAsia="Calibri" w:hAnsi="Calibri" w:cs="Times New Roman"/>
              <w:noProof/>
              <w:color w:val="000000"/>
              <w:sz w:val="18"/>
              <w:szCs w:val="18"/>
              <w:lang w:val="en-US"/>
            </w:rPr>
          </w:pPr>
        </w:p>
        <w:p w:rsidR="009F51FB" w:rsidRPr="009F51FB" w:rsidRDefault="009F51FB" w:rsidP="009F51FB">
          <w:pPr>
            <w:widowControl w:val="0"/>
            <w:autoSpaceDE w:val="0"/>
            <w:autoSpaceDN w:val="0"/>
            <w:adjustRightInd w:val="0"/>
            <w:ind w:left="-108"/>
            <w:jc w:val="center"/>
            <w:rPr>
              <w:rFonts w:ascii="Calibri" w:eastAsia="Calibri" w:hAnsi="Calibri" w:cs="Times New Roman"/>
              <w:noProof/>
              <w:color w:val="000000"/>
              <w:sz w:val="18"/>
              <w:szCs w:val="18"/>
            </w:rPr>
          </w:pPr>
          <w:r w:rsidRPr="009F51FB">
            <w:rPr>
              <w:rFonts w:ascii="Calibri" w:eastAsia="Calibri" w:hAnsi="Calibri" w:cs="Times New Roman"/>
              <w:noProof/>
              <w:color w:val="000000"/>
              <w:sz w:val="18"/>
              <w:szCs w:val="18"/>
            </w:rPr>
            <w:t xml:space="preserve">     </w:t>
          </w:r>
          <w:r w:rsidRPr="009F51FB">
            <w:rPr>
              <w:rFonts w:ascii="Calibri" w:eastAsia="Calibri" w:hAnsi="Calibri" w:cs="Times New Roman"/>
              <w:noProof/>
              <w:color w:val="000000"/>
              <w:sz w:val="18"/>
              <w:szCs w:val="18"/>
              <w:lang w:val="en-US"/>
            </w:rPr>
            <w:drawing>
              <wp:inline distT="0" distB="0" distL="0" distR="0">
                <wp:extent cx="647700" cy="676275"/>
                <wp:effectExtent l="0" t="0" r="0" b="952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" w:type="pct"/>
        </w:tcPr>
        <w:p w:rsidR="009F51FB" w:rsidRPr="009F51FB" w:rsidRDefault="009F51FB" w:rsidP="009F51FB">
          <w:pPr>
            <w:widowControl w:val="0"/>
            <w:autoSpaceDE w:val="0"/>
            <w:autoSpaceDN w:val="0"/>
            <w:adjustRightInd w:val="0"/>
            <w:ind w:left="-108"/>
            <w:jc w:val="center"/>
            <w:rPr>
              <w:rFonts w:ascii="Calibri" w:eastAsia="Calibri" w:hAnsi="Calibri" w:cs="Times New Roman"/>
              <w:noProof/>
              <w:sz w:val="18"/>
              <w:szCs w:val="18"/>
              <w:lang w:val="en-US"/>
            </w:rPr>
          </w:pPr>
        </w:p>
        <w:p w:rsidR="009F51FB" w:rsidRPr="009F51FB" w:rsidRDefault="009F51FB" w:rsidP="009F51FB">
          <w:pPr>
            <w:widowControl w:val="0"/>
            <w:autoSpaceDE w:val="0"/>
            <w:autoSpaceDN w:val="0"/>
            <w:adjustRightInd w:val="0"/>
            <w:ind w:left="-108"/>
            <w:jc w:val="center"/>
            <w:rPr>
              <w:rFonts w:ascii="Calibri" w:eastAsia="Calibri" w:hAnsi="Calibri" w:cs="Times New Roman"/>
              <w:noProof/>
              <w:color w:val="000000"/>
              <w:sz w:val="18"/>
              <w:szCs w:val="18"/>
            </w:rPr>
          </w:pPr>
          <w:r w:rsidRPr="009F51FB">
            <w:rPr>
              <w:rFonts w:ascii="Calibri" w:eastAsia="Calibri" w:hAnsi="Calibri" w:cs="Times New Roman"/>
              <w:noProof/>
              <w:color w:val="000000"/>
              <w:sz w:val="18"/>
              <w:szCs w:val="18"/>
              <w:lang w:val="en-US"/>
            </w:rPr>
            <w:drawing>
              <wp:inline distT="0" distB="0" distL="0" distR="0">
                <wp:extent cx="790575" cy="80010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0575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9F51FB" w:rsidRPr="009F51FB" w:rsidTr="006F7957">
      <w:trPr>
        <w:trHeight w:val="380"/>
      </w:trPr>
      <w:tc>
        <w:tcPr>
          <w:tcW w:w="5000" w:type="pct"/>
          <w:gridSpan w:val="5"/>
          <w:vAlign w:val="center"/>
        </w:tcPr>
        <w:p w:rsidR="009F51FB" w:rsidRPr="009F51FB" w:rsidRDefault="009F51FB" w:rsidP="009F51FB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iCs/>
              <w:color w:val="000000"/>
              <w:spacing w:val="3"/>
              <w:sz w:val="18"/>
              <w:szCs w:val="18"/>
              <w:lang w:val="ru-RU"/>
            </w:rPr>
          </w:pPr>
          <w:r w:rsidRPr="009F51FB">
            <w:rPr>
              <w:rFonts w:ascii="Calibri" w:eastAsia="Calibri" w:hAnsi="Calibri" w:cs="Times New Roman"/>
              <w:b/>
              <w:iCs/>
              <w:color w:val="000000"/>
              <w:spacing w:val="3"/>
              <w:sz w:val="18"/>
              <w:szCs w:val="18"/>
              <w:lang w:val="ru-RU"/>
            </w:rPr>
            <w:t>ПРОГРАМА ЗА РАЗВИТИЕ НА СЕЛСКИТЕ РАЙОНИ   2014 – 2020 г.</w:t>
          </w:r>
        </w:p>
        <w:p w:rsidR="009F51FB" w:rsidRPr="009F51FB" w:rsidRDefault="009F51FB" w:rsidP="009F51FB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iCs/>
              <w:color w:val="000000"/>
              <w:spacing w:val="3"/>
              <w:sz w:val="18"/>
              <w:szCs w:val="18"/>
              <w:lang w:val="ru-RU"/>
            </w:rPr>
          </w:pPr>
          <w:r w:rsidRPr="009F51FB">
            <w:rPr>
              <w:rFonts w:ascii="Calibri" w:eastAsia="Calibri" w:hAnsi="Calibri" w:cs="Times New Roman"/>
              <w:b/>
              <w:iCs/>
              <w:color w:val="000000"/>
              <w:spacing w:val="3"/>
              <w:sz w:val="18"/>
              <w:szCs w:val="18"/>
              <w:lang w:val="ru-RU"/>
            </w:rPr>
            <w:t>ЕВРОПЕЙСКИ ЗЕМЕДЕЛСКИ ФОНД ЗА РАЗВИТИЕ НА СЕЛСКИТЕ РАЙОНИ</w:t>
          </w:r>
        </w:p>
        <w:p w:rsidR="009F51FB" w:rsidRPr="009F51FB" w:rsidRDefault="009F51FB" w:rsidP="009F51FB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iCs/>
              <w:color w:val="000000"/>
              <w:spacing w:val="3"/>
              <w:sz w:val="18"/>
              <w:szCs w:val="18"/>
              <w:lang w:val="ru-RU"/>
            </w:rPr>
          </w:pPr>
          <w:r w:rsidRPr="009F51FB">
            <w:rPr>
              <w:rFonts w:ascii="Calibri" w:eastAsia="Calibri" w:hAnsi="Calibri" w:cs="Times New Roman"/>
              <w:b/>
              <w:iCs/>
              <w:color w:val="000000"/>
              <w:spacing w:val="3"/>
              <w:sz w:val="18"/>
              <w:szCs w:val="18"/>
              <w:lang w:val="ru-RU"/>
            </w:rPr>
            <w:t>ЕВРОПА ИНВЕСТИРА В СЕЛСКИТЕ РАЙОНИ</w:t>
          </w:r>
        </w:p>
        <w:p w:rsidR="009F51FB" w:rsidRPr="009F51FB" w:rsidRDefault="009F51FB" w:rsidP="009F51FB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iCs/>
              <w:color w:val="000000"/>
              <w:spacing w:val="3"/>
              <w:sz w:val="16"/>
              <w:szCs w:val="16"/>
              <w:lang w:val="ru-RU"/>
            </w:rPr>
          </w:pPr>
          <w:r w:rsidRPr="009F51FB">
            <w:rPr>
              <w:rFonts w:ascii="Calibri" w:eastAsia="Calibri" w:hAnsi="Calibri" w:cs="Times New Roman"/>
              <w:b/>
              <w:iCs/>
              <w:color w:val="000000"/>
              <w:spacing w:val="3"/>
              <w:sz w:val="18"/>
              <w:szCs w:val="18"/>
              <w:lang w:val="ru-RU"/>
            </w:rPr>
            <w:t>МЕСТНА ИНИЦИАТИВНА ГРУПА-ЛОМ</w:t>
          </w:r>
        </w:p>
      </w:tc>
    </w:tr>
    <w:bookmarkEnd w:id="1"/>
  </w:tbl>
  <w:p w:rsidR="009F51FB" w:rsidRDefault="009F51FB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51FB" w:rsidRDefault="009F51F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66D2"/>
    <w:rsid w:val="00042969"/>
    <w:rsid w:val="000666D2"/>
    <w:rsid w:val="000A51D1"/>
    <w:rsid w:val="00167345"/>
    <w:rsid w:val="00184C10"/>
    <w:rsid w:val="001A15C4"/>
    <w:rsid w:val="001A3338"/>
    <w:rsid w:val="00273F3D"/>
    <w:rsid w:val="00286C13"/>
    <w:rsid w:val="00287D31"/>
    <w:rsid w:val="00510A96"/>
    <w:rsid w:val="0057445C"/>
    <w:rsid w:val="00733319"/>
    <w:rsid w:val="007D6F6E"/>
    <w:rsid w:val="00935711"/>
    <w:rsid w:val="009E2605"/>
    <w:rsid w:val="009F51FB"/>
    <w:rsid w:val="00A7154D"/>
    <w:rsid w:val="00B679CD"/>
    <w:rsid w:val="00BC4CD9"/>
    <w:rsid w:val="00BE7D43"/>
    <w:rsid w:val="00D04DC3"/>
    <w:rsid w:val="00D27B74"/>
    <w:rsid w:val="00FC23EC"/>
    <w:rsid w:val="00FC6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A04A899-4074-45E3-8DEF-221BEA0E8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ормален (уеб) Знак"/>
    <w:aliases w:val="Normal (Web) Char Знак"/>
    <w:link w:val="a4"/>
    <w:semiHidden/>
    <w:locked/>
    <w:rsid w:val="009E2605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aliases w:val="Normal (Web) Char"/>
    <w:basedOn w:val="a"/>
    <w:link w:val="a3"/>
    <w:semiHidden/>
    <w:unhideWhenUsed/>
    <w:rsid w:val="009E26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510A9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510A96"/>
  </w:style>
  <w:style w:type="paragraph" w:styleId="a7">
    <w:name w:val="footer"/>
    <w:basedOn w:val="a"/>
    <w:link w:val="a8"/>
    <w:uiPriority w:val="99"/>
    <w:unhideWhenUsed/>
    <w:rsid w:val="00510A9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510A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219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miglom.org/" TargetMode="External"/><Relationship Id="rId2" Type="http://schemas.openxmlformats.org/officeDocument/2006/relationships/hyperlink" Target="mailto:miglom@abv.bg" TargetMode="External"/><Relationship Id="rId1" Type="http://schemas.openxmlformats.org/officeDocument/2006/relationships/hyperlink" Target="mailto:office@miglom.org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Donka Yordanova</dc:creator>
  <cp:lastModifiedBy>Big Boss</cp:lastModifiedBy>
  <cp:revision>7</cp:revision>
  <dcterms:created xsi:type="dcterms:W3CDTF">2018-05-23T09:58:00Z</dcterms:created>
  <dcterms:modified xsi:type="dcterms:W3CDTF">2018-07-26T06:14:00Z</dcterms:modified>
</cp:coreProperties>
</file>