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2253" w:rsidRDefault="003345C1" w:rsidP="004D6661">
      <w:pPr>
        <w:spacing w:after="0" w:line="240" w:lineRule="auto"/>
        <w:jc w:val="center"/>
        <w:rPr>
          <w:rFonts w:ascii="Times New Roman" w:hAnsi="Times New Roman" w:cs="Times New Roman"/>
          <w:b/>
          <w:sz w:val="24"/>
          <w:szCs w:val="24"/>
        </w:rPr>
      </w:pPr>
      <w:r w:rsidRPr="003345C1">
        <w:rPr>
          <w:rFonts w:ascii="Times New Roman" w:hAnsi="Times New Roman" w:cs="Times New Roman"/>
          <w:b/>
          <w:sz w:val="24"/>
          <w:szCs w:val="24"/>
        </w:rPr>
        <w:t>СПИСЪК НА СЪКРАЩЕНИЯТА И ОБЯСНИТЕЛНИ БЕЛЕЖКИ</w:t>
      </w:r>
      <w:r w:rsidR="00C32253">
        <w:rPr>
          <w:rFonts w:ascii="Times New Roman" w:hAnsi="Times New Roman" w:cs="Times New Roman"/>
          <w:b/>
          <w:sz w:val="24"/>
          <w:szCs w:val="24"/>
        </w:rPr>
        <w:t>,</w:t>
      </w:r>
    </w:p>
    <w:p w:rsidR="004D6661" w:rsidRDefault="00C32253" w:rsidP="004D666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използвани по </w:t>
      </w:r>
      <w:r w:rsidRPr="00C32253">
        <w:rPr>
          <w:rFonts w:ascii="Times New Roman" w:hAnsi="Times New Roman" w:cs="Times New Roman"/>
          <w:b/>
          <w:sz w:val="24"/>
          <w:szCs w:val="24"/>
        </w:rPr>
        <w:t>процедура BG06RDNP001-19.057</w:t>
      </w:r>
    </w:p>
    <w:p w:rsidR="003345C1" w:rsidRDefault="00C32253" w:rsidP="004D6661">
      <w:pPr>
        <w:spacing w:after="0" w:line="240" w:lineRule="auto"/>
        <w:jc w:val="center"/>
        <w:rPr>
          <w:rFonts w:ascii="Times New Roman" w:hAnsi="Times New Roman" w:cs="Times New Roman"/>
          <w:b/>
          <w:sz w:val="24"/>
          <w:szCs w:val="24"/>
        </w:rPr>
      </w:pPr>
      <w:r w:rsidRPr="00C32253">
        <w:rPr>
          <w:rFonts w:ascii="Times New Roman" w:hAnsi="Times New Roman" w:cs="Times New Roman"/>
          <w:b/>
          <w:sz w:val="24"/>
          <w:szCs w:val="24"/>
        </w:rPr>
        <w:tab/>
      </w: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42"/>
        <w:gridCol w:w="6986"/>
      </w:tblGrid>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БФП</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Безвъзмездна финансова помощ</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ДДС</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Данък върху добавената стойност</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ДФЗ-РА</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Държавен фонд „Земеделие“ - Разплащателна агенция</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ЕС</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Европейски съюз</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ЕСИФ</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Европейски структурни и инвестиционни фондове</w:t>
            </w:r>
          </w:p>
        </w:tc>
      </w:tr>
      <w:tr w:rsidR="004D6661" w:rsidRPr="004F52FC" w:rsidTr="004D6661">
        <w:trPr>
          <w:trHeight w:hRule="exact" w:val="260"/>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ЕЗФРСР</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Европейски земеделски фонд за развитие на селските райони</w:t>
            </w:r>
          </w:p>
        </w:tc>
      </w:tr>
      <w:tr w:rsidR="004D6661" w:rsidRPr="004F52FC" w:rsidTr="004D6661">
        <w:trPr>
          <w:trHeight w:hRule="exact" w:val="515"/>
        </w:trPr>
        <w:tc>
          <w:tcPr>
            <w:tcW w:w="2242" w:type="dxa"/>
            <w:shd w:val="clear" w:color="auto" w:fill="FFFFFF"/>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ЗДДС</w:t>
            </w:r>
          </w:p>
        </w:tc>
        <w:tc>
          <w:tcPr>
            <w:tcW w:w="6986" w:type="dxa"/>
            <w:shd w:val="clear" w:color="auto" w:fill="FFFFFF"/>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данък добавена стойност</w:t>
            </w:r>
          </w:p>
        </w:tc>
      </w:tr>
      <w:tr w:rsidR="004D6661" w:rsidRPr="004F52FC" w:rsidTr="004D6661">
        <w:trPr>
          <w:trHeight w:hRule="exact" w:val="515"/>
        </w:trPr>
        <w:tc>
          <w:tcPr>
            <w:tcW w:w="2242" w:type="dxa"/>
            <w:shd w:val="clear" w:color="auto" w:fill="FFFFFF"/>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ЗЕЕ</w:t>
            </w:r>
          </w:p>
        </w:tc>
        <w:tc>
          <w:tcPr>
            <w:tcW w:w="6986" w:type="dxa"/>
            <w:shd w:val="clear" w:color="auto" w:fill="FFFFFF"/>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енергийната ефективност</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ЗЕУ</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електронното управление</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ЗКН</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културното наследство</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ЗОП</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обществените поръчки</w:t>
            </w:r>
          </w:p>
        </w:tc>
      </w:tr>
      <w:tr w:rsidR="004D6661" w:rsidRPr="004F52FC" w:rsidTr="004D6661">
        <w:trPr>
          <w:trHeight w:hRule="exact" w:val="515"/>
        </w:trPr>
        <w:tc>
          <w:tcPr>
            <w:tcW w:w="2242" w:type="dxa"/>
            <w:shd w:val="clear" w:color="auto" w:fill="FFFFFF"/>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ЗООС</w:t>
            </w:r>
          </w:p>
        </w:tc>
        <w:tc>
          <w:tcPr>
            <w:tcW w:w="6986" w:type="dxa"/>
            <w:shd w:val="clear" w:color="auto" w:fill="FFFFFF"/>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опазване на околната среда</w:t>
            </w:r>
          </w:p>
        </w:tc>
      </w:tr>
      <w:tr w:rsidR="004D6661" w:rsidRPr="004F52FC" w:rsidTr="004D6661">
        <w:trPr>
          <w:trHeight w:hRule="exact" w:val="260"/>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ЗПЗП</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подпомагане на земеделските производители</w:t>
            </w:r>
          </w:p>
        </w:tc>
      </w:tr>
      <w:tr w:rsidR="004D6661" w:rsidRPr="004F52FC" w:rsidTr="004D6661">
        <w:trPr>
          <w:trHeight w:hRule="exact" w:val="519"/>
        </w:trPr>
        <w:tc>
          <w:tcPr>
            <w:tcW w:w="2242" w:type="dxa"/>
            <w:shd w:val="clear" w:color="auto" w:fill="FFFFFF"/>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ЗУСЕСИФ</w:t>
            </w:r>
          </w:p>
        </w:tc>
        <w:tc>
          <w:tcPr>
            <w:tcW w:w="6986" w:type="dxa"/>
            <w:shd w:val="clear" w:color="auto" w:fill="FFFFFF"/>
            <w:vAlign w:val="bottom"/>
            <w:hideMark/>
          </w:tcPr>
          <w:p w:rsidR="004D6661" w:rsidRPr="004F52FC" w:rsidRDefault="004D6661" w:rsidP="004D6661">
            <w:pPr>
              <w:spacing w:line="255" w:lineRule="exact"/>
              <w:rPr>
                <w:rFonts w:ascii="Times New Roman" w:hAnsi="Times New Roman" w:cs="Times New Roman"/>
              </w:rPr>
            </w:pPr>
            <w:r w:rsidRPr="004F52FC">
              <w:rPr>
                <w:rStyle w:val="2"/>
                <w:rFonts w:eastAsia="Courier New"/>
                <w:sz w:val="22"/>
                <w:szCs w:val="22"/>
                <w:u w:val="none"/>
              </w:rPr>
              <w:t>Закон за управление на средствата от Европейските структурни и инвестиционни фондове</w:t>
            </w:r>
          </w:p>
        </w:tc>
      </w:tr>
      <w:tr w:rsidR="004D6661" w:rsidRPr="004F52FC" w:rsidTr="004D6661">
        <w:trPr>
          <w:trHeight w:hRule="exact" w:val="515"/>
        </w:trPr>
        <w:tc>
          <w:tcPr>
            <w:tcW w:w="2242" w:type="dxa"/>
            <w:shd w:val="clear" w:color="auto" w:fill="FFFFFF"/>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ЗУТ</w:t>
            </w:r>
          </w:p>
        </w:tc>
        <w:tc>
          <w:tcPr>
            <w:tcW w:w="6986" w:type="dxa"/>
            <w:shd w:val="clear" w:color="auto" w:fill="FFFFFF"/>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Закон за устройство на територията</w:t>
            </w:r>
          </w:p>
        </w:tc>
      </w:tr>
      <w:tr w:rsidR="004D6661" w:rsidRPr="004F52FC" w:rsidTr="004D6661">
        <w:trPr>
          <w:trHeight w:hRule="exact" w:val="515"/>
        </w:trPr>
        <w:tc>
          <w:tcPr>
            <w:tcW w:w="2242" w:type="dxa"/>
            <w:shd w:val="clear" w:color="auto" w:fill="FFFFFF"/>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ИСУН</w:t>
            </w:r>
          </w:p>
        </w:tc>
        <w:tc>
          <w:tcPr>
            <w:tcW w:w="6986" w:type="dxa"/>
            <w:shd w:val="clear" w:color="auto" w:fill="FFFFFF"/>
            <w:vAlign w:val="bottom"/>
            <w:hideMark/>
          </w:tcPr>
          <w:p w:rsidR="004D6661" w:rsidRPr="004F52FC" w:rsidRDefault="004D6661" w:rsidP="004D6661">
            <w:pPr>
              <w:spacing w:line="246" w:lineRule="exact"/>
              <w:rPr>
                <w:rFonts w:ascii="Times New Roman" w:hAnsi="Times New Roman" w:cs="Times New Roman"/>
              </w:rPr>
            </w:pPr>
            <w:r w:rsidRPr="004F52FC">
              <w:rPr>
                <w:rStyle w:val="2"/>
                <w:rFonts w:eastAsia="Courier New"/>
                <w:sz w:val="22"/>
                <w:szCs w:val="22"/>
                <w:u w:val="none"/>
              </w:rPr>
              <w:t>Информационната система за управление и наблюдение на средствата от Европейските структурни и инвестиционни фондове</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КЕП</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Квалифициран електронен подпис</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КСС</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Количествено-стойно</w:t>
            </w:r>
            <w:bookmarkStart w:id="0" w:name="_GoBack"/>
            <w:bookmarkEnd w:id="0"/>
            <w:r w:rsidRPr="004F52FC">
              <w:rPr>
                <w:rStyle w:val="2"/>
                <w:rFonts w:eastAsia="Courier New"/>
                <w:sz w:val="22"/>
                <w:szCs w:val="22"/>
                <w:u w:val="none"/>
              </w:rPr>
              <w:t>стни сметки</w:t>
            </w:r>
          </w:p>
        </w:tc>
      </w:tr>
      <w:tr w:rsidR="004D6661" w:rsidRPr="004F52FC" w:rsidTr="004D6661">
        <w:trPr>
          <w:trHeight w:hRule="exact" w:val="260"/>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МЗХГ</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Министерство на земеделието, храните и горите</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ОВ</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Официален вестник на ЕС</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ПРСР 2014 - 2020 г.</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Програма за развитие на селските райони за периода 2014 - 2020 г.</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ПМС</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Постановление на Министерски съвет</w:t>
            </w:r>
          </w:p>
        </w:tc>
      </w:tr>
      <w:tr w:rsidR="004D6661" w:rsidRPr="004F52FC" w:rsidTr="004D6661">
        <w:trPr>
          <w:trHeight w:hRule="exact" w:val="260"/>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РУО</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Ръководител на управляващият орган</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СМР</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Строително-монтажни работи</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УО</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Управляващ орган</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ВОМР</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Водено от общностите местно развитие</w:t>
            </w:r>
          </w:p>
        </w:tc>
      </w:tr>
      <w:tr w:rsidR="004D6661" w:rsidRPr="004F52FC" w:rsidTr="004D6661">
        <w:trPr>
          <w:trHeight w:hRule="exact" w:val="260"/>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СВОМР</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Стратегия за изпълнение на водено от общностите местно развитие</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ИС РМП</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Информационна система Регистър за минималните помощи</w:t>
            </w:r>
          </w:p>
        </w:tc>
      </w:tr>
      <w:tr w:rsidR="004D6661" w:rsidRPr="004F52FC" w:rsidTr="004D6661">
        <w:trPr>
          <w:trHeight w:hRule="exact" w:val="264"/>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ОПРР</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Оперативна програма „Региони в растеж“</w:t>
            </w:r>
          </w:p>
        </w:tc>
      </w:tr>
      <w:tr w:rsidR="004D6661" w:rsidRPr="004F52FC" w:rsidTr="004D6661">
        <w:trPr>
          <w:trHeight w:hRule="exact" w:val="273"/>
        </w:trPr>
        <w:tc>
          <w:tcPr>
            <w:tcW w:w="2242" w:type="dxa"/>
            <w:shd w:val="clear" w:color="auto" w:fill="FFFFFF"/>
            <w:vAlign w:val="bottom"/>
            <w:hideMark/>
          </w:tcPr>
          <w:p w:rsidR="004D6661" w:rsidRPr="004F52FC" w:rsidRDefault="004D6661" w:rsidP="004D6661">
            <w:pPr>
              <w:spacing w:line="210" w:lineRule="exact"/>
              <w:ind w:left="120"/>
              <w:rPr>
                <w:rFonts w:ascii="Times New Roman" w:hAnsi="Times New Roman" w:cs="Times New Roman"/>
              </w:rPr>
            </w:pPr>
            <w:r w:rsidRPr="004F52FC">
              <w:rPr>
                <w:rStyle w:val="a3"/>
                <w:rFonts w:eastAsia="Courier New"/>
                <w:sz w:val="22"/>
                <w:szCs w:val="22"/>
              </w:rPr>
              <w:t>КППП</w:t>
            </w:r>
          </w:p>
        </w:tc>
        <w:tc>
          <w:tcPr>
            <w:tcW w:w="6986" w:type="dxa"/>
            <w:shd w:val="clear" w:color="auto" w:fill="FFFFFF"/>
            <w:vAlign w:val="bottom"/>
            <w:hideMark/>
          </w:tcPr>
          <w:p w:rsidR="004D6661" w:rsidRPr="004F52FC" w:rsidRDefault="004D6661" w:rsidP="004D6661">
            <w:pPr>
              <w:spacing w:line="210" w:lineRule="exact"/>
              <w:rPr>
                <w:rFonts w:ascii="Times New Roman" w:hAnsi="Times New Roman" w:cs="Times New Roman"/>
              </w:rPr>
            </w:pPr>
            <w:r w:rsidRPr="004F52FC">
              <w:rPr>
                <w:rStyle w:val="2"/>
                <w:rFonts w:eastAsia="Courier New"/>
                <w:sz w:val="22"/>
                <w:szCs w:val="22"/>
                <w:u w:val="none"/>
              </w:rPr>
              <w:t>Комисия за подбор на проектни предложения</w:t>
            </w:r>
          </w:p>
        </w:tc>
      </w:tr>
    </w:tbl>
    <w:p w:rsidR="004D6661" w:rsidRPr="004F52FC" w:rsidRDefault="004D6661" w:rsidP="004D6661">
      <w:pPr>
        <w:rPr>
          <w:rFonts w:ascii="Times New Roman" w:hAnsi="Times New Roman" w:cs="Times New Roman"/>
          <w:b/>
        </w:rPr>
      </w:pPr>
    </w:p>
    <w:p w:rsidR="004D6661" w:rsidRPr="003345C1" w:rsidRDefault="004D6661" w:rsidP="003345C1">
      <w:pPr>
        <w:jc w:val="center"/>
        <w:rPr>
          <w:rFonts w:ascii="Times New Roman" w:hAnsi="Times New Roman" w:cs="Times New Roman"/>
          <w:b/>
          <w:sz w:val="24"/>
          <w:szCs w:val="24"/>
        </w:rPr>
      </w:pPr>
    </w:p>
    <w:tbl>
      <w:tblPr>
        <w:tblW w:w="9228" w:type="dxa"/>
        <w:tblInd w:w="137" w:type="dxa"/>
        <w:tblLayout w:type="fixed"/>
        <w:tblCellMar>
          <w:left w:w="10" w:type="dxa"/>
          <w:right w:w="10" w:type="dxa"/>
        </w:tblCellMar>
        <w:tblLook w:val="0000" w:firstRow="0" w:lastRow="0" w:firstColumn="0" w:lastColumn="0" w:noHBand="0" w:noVBand="0"/>
      </w:tblPr>
      <w:tblGrid>
        <w:gridCol w:w="2242"/>
        <w:gridCol w:w="21"/>
        <w:gridCol w:w="6965"/>
      </w:tblGrid>
      <w:tr w:rsidR="00927789" w:rsidRPr="004D6661" w:rsidTr="004F52FC">
        <w:trPr>
          <w:trHeight w:hRule="exact" w:val="1856"/>
        </w:trPr>
        <w:tc>
          <w:tcPr>
            <w:tcW w:w="2263" w:type="dxa"/>
            <w:gridSpan w:val="2"/>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D6661">
            <w:pPr>
              <w:spacing w:after="0" w:line="240" w:lineRule="auto"/>
              <w:jc w:val="both"/>
              <w:rPr>
                <w:rFonts w:ascii="Times New Roman" w:hAnsi="Times New Roman" w:cs="Times New Roman"/>
              </w:rPr>
            </w:pPr>
            <w:r w:rsidRPr="004D6661">
              <w:rPr>
                <w:rStyle w:val="a3"/>
                <w:rFonts w:eastAsiaTheme="minorHAnsi"/>
                <w:sz w:val="22"/>
                <w:szCs w:val="22"/>
              </w:rPr>
              <w:t>Авансово плащане</w:t>
            </w: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3345C1" w:rsidRPr="004D6661" w:rsidRDefault="00927789" w:rsidP="006D7DD7">
            <w:pPr>
              <w:spacing w:after="0"/>
              <w:rPr>
                <w:rStyle w:val="2"/>
                <w:rFonts w:eastAsia="Arial"/>
                <w:sz w:val="22"/>
                <w:szCs w:val="22"/>
                <w:u w:val="none"/>
              </w:rPr>
            </w:pPr>
            <w:r w:rsidRPr="004D6661">
              <w:rPr>
                <w:rStyle w:val="2"/>
                <w:rFonts w:eastAsia="Arial"/>
                <w:sz w:val="22"/>
                <w:szCs w:val="22"/>
                <w:u w:val="none"/>
              </w:rPr>
              <w:t xml:space="preserve">Плащане по смисъла на чл. 63 от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w:t>
            </w:r>
          </w:p>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 xml:space="preserve">(ОВ, </w:t>
            </w:r>
            <w:r w:rsidRPr="004D6661">
              <w:rPr>
                <w:rStyle w:val="2"/>
                <w:rFonts w:eastAsia="Arial"/>
                <w:sz w:val="22"/>
                <w:szCs w:val="22"/>
                <w:u w:val="none"/>
                <w:lang w:val="en-US" w:bidi="en-US"/>
              </w:rPr>
              <w:t xml:space="preserve">L </w:t>
            </w:r>
            <w:r w:rsidRPr="004D6661">
              <w:rPr>
                <w:rStyle w:val="2"/>
                <w:rFonts w:eastAsia="Arial"/>
                <w:sz w:val="22"/>
                <w:szCs w:val="22"/>
                <w:u w:val="none"/>
              </w:rPr>
              <w:t>347/487 от 20 декември 2013 г.)</w:t>
            </w:r>
          </w:p>
        </w:tc>
      </w:tr>
      <w:tr w:rsidR="00927789" w:rsidRPr="004D6661" w:rsidTr="004F52FC">
        <w:trPr>
          <w:trHeight w:hRule="exact" w:val="1698"/>
        </w:trPr>
        <w:tc>
          <w:tcPr>
            <w:tcW w:w="2263" w:type="dxa"/>
            <w:gridSpan w:val="2"/>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120" w:line="240" w:lineRule="auto"/>
              <w:jc w:val="both"/>
              <w:rPr>
                <w:rFonts w:ascii="Times New Roman" w:hAnsi="Times New Roman" w:cs="Times New Roman"/>
              </w:rPr>
            </w:pPr>
            <w:r w:rsidRPr="004D6661">
              <w:rPr>
                <w:rStyle w:val="a3"/>
                <w:rFonts w:eastAsiaTheme="minorHAnsi"/>
                <w:sz w:val="22"/>
                <w:szCs w:val="22"/>
              </w:rPr>
              <w:t>Административен</w:t>
            </w:r>
          </w:p>
          <w:p w:rsidR="00927789" w:rsidRPr="004D6661" w:rsidRDefault="00927789" w:rsidP="004D6661">
            <w:pPr>
              <w:spacing w:before="120" w:after="0" w:line="240" w:lineRule="auto"/>
              <w:jc w:val="both"/>
              <w:rPr>
                <w:rFonts w:ascii="Times New Roman" w:hAnsi="Times New Roman" w:cs="Times New Roman"/>
              </w:rPr>
            </w:pPr>
            <w:r w:rsidRPr="004D6661">
              <w:rPr>
                <w:rStyle w:val="a3"/>
                <w:rFonts w:eastAsiaTheme="minorHAnsi"/>
                <w:sz w:val="22"/>
                <w:szCs w:val="22"/>
              </w:rPr>
              <w:t>договор</w:t>
            </w: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Style w:val="2"/>
                <w:rFonts w:eastAsia="Arial"/>
                <w:sz w:val="22"/>
                <w:szCs w:val="22"/>
                <w:u w:val="none"/>
              </w:rPr>
            </w:pPr>
            <w:r w:rsidRPr="004D6661">
              <w:rPr>
                <w:rStyle w:val="2"/>
                <w:rFonts w:eastAsia="Arial"/>
                <w:sz w:val="22"/>
                <w:szCs w:val="22"/>
                <w:u w:val="none"/>
              </w:rPr>
              <w:t>Договор по смисъла на § 1, т. 1 от допълнителните разпоредби на Закона за управление на средствата от европейските структурни и инвестиционни фондове, който съдържа изрично волеизявление на изпълнителният директор на РА за предоставяне на безвъзмездна финансова помощ със средства по ПРСР 2014 - 2020 г.</w:t>
            </w:r>
          </w:p>
          <w:p w:rsidR="003345C1" w:rsidRPr="004D6661" w:rsidRDefault="003345C1" w:rsidP="006D7DD7">
            <w:pPr>
              <w:spacing w:after="0"/>
              <w:rPr>
                <w:rFonts w:ascii="Times New Roman" w:hAnsi="Times New Roman" w:cs="Times New Roman"/>
              </w:rPr>
            </w:pPr>
          </w:p>
        </w:tc>
      </w:tr>
      <w:tr w:rsidR="00927789" w:rsidRPr="004D6661" w:rsidTr="004F52FC">
        <w:trPr>
          <w:trHeight w:hRule="exact" w:val="1708"/>
        </w:trPr>
        <w:tc>
          <w:tcPr>
            <w:tcW w:w="2263" w:type="dxa"/>
            <w:gridSpan w:val="2"/>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120" w:line="240" w:lineRule="auto"/>
              <w:jc w:val="both"/>
              <w:rPr>
                <w:rFonts w:ascii="Times New Roman" w:hAnsi="Times New Roman" w:cs="Times New Roman"/>
              </w:rPr>
            </w:pPr>
            <w:r w:rsidRPr="004D6661">
              <w:rPr>
                <w:rStyle w:val="a3"/>
                <w:rFonts w:eastAsiaTheme="minorHAnsi"/>
                <w:sz w:val="22"/>
                <w:szCs w:val="22"/>
              </w:rPr>
              <w:t>Административни</w:t>
            </w:r>
          </w:p>
          <w:p w:rsidR="00927789" w:rsidRPr="004D6661" w:rsidRDefault="00927789" w:rsidP="004D6661">
            <w:pPr>
              <w:spacing w:before="120" w:after="0" w:line="240" w:lineRule="auto"/>
              <w:jc w:val="both"/>
              <w:rPr>
                <w:rFonts w:ascii="Times New Roman" w:hAnsi="Times New Roman" w:cs="Times New Roman"/>
              </w:rPr>
            </w:pPr>
            <w:r w:rsidRPr="004D6661">
              <w:rPr>
                <w:rStyle w:val="a3"/>
                <w:rFonts w:eastAsiaTheme="minorHAnsi"/>
                <w:sz w:val="22"/>
                <w:szCs w:val="22"/>
              </w:rPr>
              <w:t>проверки</w:t>
            </w: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Проверки съгласно условията и разпоредбите на чл. 48 от Регламент за изпълнение (ЕС) № 809/2014 на Комисията от 17 юли 2014 г. за определяне на правила за прилагането на Регламент (ЕС) № 1306/2013 20</w:t>
            </w:r>
          </w:p>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 xml:space="preserve">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w:t>
            </w:r>
            <w:r w:rsidRPr="004D6661">
              <w:rPr>
                <w:rStyle w:val="2"/>
                <w:rFonts w:eastAsia="Arial"/>
                <w:sz w:val="22"/>
                <w:szCs w:val="22"/>
                <w:u w:val="none"/>
                <w:lang w:val="en-US" w:bidi="en-US"/>
              </w:rPr>
              <w:t xml:space="preserve">L </w:t>
            </w:r>
            <w:r w:rsidRPr="004D6661">
              <w:rPr>
                <w:rStyle w:val="2"/>
                <w:rFonts w:eastAsia="Arial"/>
                <w:sz w:val="22"/>
                <w:szCs w:val="22"/>
                <w:u w:val="none"/>
              </w:rPr>
              <w:t>227/69 от 31 юли 2014 г.).</w:t>
            </w:r>
          </w:p>
        </w:tc>
      </w:tr>
      <w:tr w:rsidR="00C32253" w:rsidRPr="004D6661" w:rsidTr="004F52FC">
        <w:trPr>
          <w:trHeight w:hRule="exact" w:val="1123"/>
        </w:trPr>
        <w:tc>
          <w:tcPr>
            <w:tcW w:w="2263" w:type="dxa"/>
            <w:gridSpan w:val="2"/>
            <w:tcBorders>
              <w:top w:val="single" w:sz="4" w:space="0" w:color="auto"/>
              <w:left w:val="single" w:sz="4" w:space="0" w:color="auto"/>
              <w:bottom w:val="single" w:sz="4" w:space="0" w:color="auto"/>
            </w:tcBorders>
            <w:shd w:val="clear" w:color="auto" w:fill="FFFFFF"/>
          </w:tcPr>
          <w:p w:rsidR="00C32253" w:rsidRPr="004D6661" w:rsidRDefault="00C32253" w:rsidP="004D6661">
            <w:pPr>
              <w:spacing w:after="0" w:line="240" w:lineRule="auto"/>
              <w:jc w:val="both"/>
              <w:rPr>
                <w:rFonts w:ascii="Times New Roman" w:hAnsi="Times New Roman" w:cs="Times New Roman"/>
              </w:rPr>
            </w:pPr>
            <w:r w:rsidRPr="004D6661">
              <w:rPr>
                <w:rStyle w:val="a3"/>
                <w:rFonts w:eastAsiaTheme="minorHAnsi"/>
                <w:sz w:val="22"/>
                <w:szCs w:val="22"/>
              </w:rPr>
              <w:t>Административно</w:t>
            </w:r>
          </w:p>
          <w:p w:rsidR="00C32253" w:rsidRPr="004D6661" w:rsidRDefault="00C32253" w:rsidP="004D6661">
            <w:pPr>
              <w:spacing w:after="120" w:line="240" w:lineRule="auto"/>
              <w:jc w:val="both"/>
              <w:rPr>
                <w:rStyle w:val="a3"/>
                <w:rFonts w:eastAsiaTheme="minorHAnsi"/>
                <w:sz w:val="22"/>
                <w:szCs w:val="22"/>
              </w:rPr>
            </w:pPr>
            <w:r w:rsidRPr="004D6661">
              <w:rPr>
                <w:rStyle w:val="a3"/>
                <w:rFonts w:eastAsiaTheme="minorHAnsi"/>
                <w:sz w:val="22"/>
                <w:szCs w:val="22"/>
              </w:rPr>
              <w:t>съответствие</w:t>
            </w: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C32253" w:rsidRPr="004D6661" w:rsidRDefault="00C32253" w:rsidP="00C32253">
            <w:pPr>
              <w:spacing w:after="0" w:line="240" w:lineRule="auto"/>
              <w:rPr>
                <w:rStyle w:val="2"/>
                <w:rFonts w:eastAsia="Arial"/>
                <w:sz w:val="22"/>
                <w:szCs w:val="22"/>
                <w:u w:val="none"/>
              </w:rPr>
            </w:pPr>
            <w:r w:rsidRPr="004D6661">
              <w:rPr>
                <w:rStyle w:val="2"/>
                <w:rFonts w:eastAsia="Arial"/>
                <w:sz w:val="22"/>
                <w:szCs w:val="22"/>
                <w:u w:val="none"/>
              </w:rPr>
              <w:t xml:space="preserve">Съответствие с формалните изисквания към документите, които включват: срок на подаване, </w:t>
            </w:r>
            <w:proofErr w:type="spellStart"/>
            <w:r w:rsidRPr="004D6661">
              <w:rPr>
                <w:rStyle w:val="2"/>
                <w:rFonts w:eastAsia="Arial"/>
                <w:sz w:val="22"/>
                <w:szCs w:val="22"/>
                <w:u w:val="none"/>
              </w:rPr>
              <w:t>комплектованост</w:t>
            </w:r>
            <w:proofErr w:type="spellEnd"/>
            <w:r w:rsidRPr="004D6661">
              <w:rPr>
                <w:rStyle w:val="2"/>
                <w:rFonts w:eastAsia="Arial"/>
                <w:sz w:val="22"/>
                <w:szCs w:val="22"/>
                <w:u w:val="none"/>
              </w:rPr>
              <w:t>, спазване на изискуемата форма, валидност и други, определени в наредбата и в</w:t>
            </w:r>
          </w:p>
          <w:p w:rsidR="00C32253" w:rsidRDefault="00C32253" w:rsidP="00C32253">
            <w:pPr>
              <w:spacing w:after="0" w:line="240" w:lineRule="auto"/>
              <w:rPr>
                <w:rStyle w:val="2"/>
                <w:rFonts w:eastAsia="Arial"/>
                <w:sz w:val="22"/>
                <w:szCs w:val="22"/>
                <w:u w:val="none"/>
              </w:rPr>
            </w:pPr>
            <w:r w:rsidRPr="004D6661">
              <w:rPr>
                <w:rStyle w:val="2"/>
                <w:rFonts w:eastAsia="Arial"/>
                <w:sz w:val="22"/>
                <w:szCs w:val="22"/>
                <w:u w:val="none"/>
              </w:rPr>
              <w:t xml:space="preserve"> насоките за кандидатстване по съответната процедура.</w:t>
            </w:r>
            <w:r w:rsidR="004D6661">
              <w:rPr>
                <w:rStyle w:val="2"/>
                <w:rFonts w:eastAsia="Arial"/>
                <w:sz w:val="22"/>
                <w:szCs w:val="22"/>
                <w:u w:val="none"/>
              </w:rPr>
              <w:t xml:space="preserve">                                    </w:t>
            </w:r>
          </w:p>
          <w:p w:rsidR="004D6661" w:rsidRDefault="004D6661" w:rsidP="00C32253">
            <w:pPr>
              <w:spacing w:after="0" w:line="240" w:lineRule="auto"/>
              <w:rPr>
                <w:rStyle w:val="2"/>
                <w:rFonts w:eastAsia="Arial"/>
                <w:sz w:val="22"/>
                <w:szCs w:val="22"/>
                <w:u w:val="none"/>
              </w:rPr>
            </w:pPr>
            <w:r>
              <w:rPr>
                <w:rStyle w:val="2"/>
                <w:rFonts w:eastAsia="Arial"/>
                <w:sz w:val="22"/>
                <w:szCs w:val="22"/>
                <w:u w:val="none"/>
              </w:rPr>
              <w:t xml:space="preserve">           </w:t>
            </w:r>
          </w:p>
          <w:p w:rsidR="004D6661" w:rsidRPr="004D6661" w:rsidRDefault="004D6661" w:rsidP="00C32253">
            <w:pPr>
              <w:spacing w:after="0" w:line="240" w:lineRule="auto"/>
              <w:rPr>
                <w:rFonts w:ascii="Times New Roman" w:hAnsi="Times New Roman" w:cs="Times New Roman"/>
              </w:rPr>
            </w:pPr>
          </w:p>
        </w:tc>
      </w:tr>
      <w:tr w:rsidR="00C32253" w:rsidRPr="004D6661" w:rsidTr="004F52FC">
        <w:trPr>
          <w:trHeight w:hRule="exact" w:val="1138"/>
        </w:trPr>
        <w:tc>
          <w:tcPr>
            <w:tcW w:w="2263" w:type="dxa"/>
            <w:gridSpan w:val="2"/>
            <w:tcBorders>
              <w:top w:val="single" w:sz="4" w:space="0" w:color="auto"/>
              <w:left w:val="single" w:sz="4" w:space="0" w:color="auto"/>
              <w:bottom w:val="single" w:sz="4" w:space="0" w:color="auto"/>
            </w:tcBorders>
            <w:shd w:val="clear" w:color="auto" w:fill="FFFFFF"/>
          </w:tcPr>
          <w:p w:rsidR="00C32253" w:rsidRPr="004D6661" w:rsidRDefault="00C32253" w:rsidP="004D6661">
            <w:pPr>
              <w:spacing w:after="0" w:line="240" w:lineRule="auto"/>
              <w:jc w:val="both"/>
              <w:rPr>
                <w:rFonts w:ascii="Times New Roman" w:hAnsi="Times New Roman" w:cs="Times New Roman"/>
              </w:rPr>
            </w:pPr>
            <w:r w:rsidRPr="004D6661">
              <w:rPr>
                <w:rStyle w:val="a3"/>
                <w:rFonts w:eastAsiaTheme="minorHAnsi"/>
                <w:sz w:val="22"/>
                <w:szCs w:val="22"/>
              </w:rPr>
              <w:t>Вертикална</w:t>
            </w:r>
          </w:p>
          <w:p w:rsidR="00C32253" w:rsidRPr="004D6661" w:rsidRDefault="00C32253" w:rsidP="004D6661">
            <w:pPr>
              <w:spacing w:before="120" w:after="0" w:line="240" w:lineRule="auto"/>
              <w:jc w:val="both"/>
              <w:rPr>
                <w:rStyle w:val="a3"/>
                <w:rFonts w:eastAsiaTheme="minorHAnsi"/>
                <w:sz w:val="22"/>
                <w:szCs w:val="22"/>
              </w:rPr>
            </w:pPr>
            <w:r w:rsidRPr="004D6661">
              <w:rPr>
                <w:rStyle w:val="a3"/>
                <w:rFonts w:eastAsiaTheme="minorHAnsi"/>
                <w:sz w:val="22"/>
                <w:szCs w:val="22"/>
              </w:rPr>
              <w:t>планировка</w:t>
            </w:r>
          </w:p>
          <w:p w:rsidR="00C32253" w:rsidRPr="004D6661" w:rsidRDefault="00C32253" w:rsidP="004D6661">
            <w:pPr>
              <w:spacing w:before="120" w:after="0" w:line="240" w:lineRule="auto"/>
              <w:jc w:val="both"/>
              <w:rPr>
                <w:rFonts w:ascii="Times New Roman" w:hAnsi="Times New Roman" w:cs="Times New Roman"/>
              </w:rPr>
            </w:pPr>
          </w:p>
          <w:p w:rsidR="00C32253" w:rsidRPr="004D6661" w:rsidRDefault="00C32253" w:rsidP="004D6661">
            <w:pPr>
              <w:spacing w:before="120" w:after="0" w:line="240" w:lineRule="auto"/>
              <w:jc w:val="both"/>
              <w:rPr>
                <w:rFonts w:ascii="Times New Roman" w:hAnsi="Times New Roman" w:cs="Times New Roman"/>
              </w:rPr>
            </w:pPr>
          </w:p>
          <w:p w:rsidR="00C32253" w:rsidRPr="004D6661" w:rsidRDefault="00C32253" w:rsidP="004D6661">
            <w:pPr>
              <w:spacing w:before="120" w:after="0" w:line="240" w:lineRule="auto"/>
              <w:jc w:val="both"/>
              <w:rPr>
                <w:rFonts w:ascii="Times New Roman" w:hAnsi="Times New Roman" w:cs="Times New Roman"/>
              </w:rPr>
            </w:pP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C32253" w:rsidRPr="004D6661" w:rsidRDefault="00C32253" w:rsidP="00C32253">
            <w:pPr>
              <w:spacing w:after="0" w:line="240" w:lineRule="auto"/>
              <w:rPr>
                <w:rStyle w:val="2"/>
                <w:rFonts w:eastAsia="Arial"/>
                <w:sz w:val="22"/>
                <w:szCs w:val="22"/>
                <w:u w:val="none"/>
              </w:rPr>
            </w:pPr>
            <w:r w:rsidRPr="004D6661">
              <w:rPr>
                <w:rStyle w:val="2"/>
                <w:rFonts w:eastAsia="Arial"/>
                <w:sz w:val="22"/>
                <w:szCs w:val="22"/>
                <w:u w:val="none"/>
              </w:rPr>
              <w:t xml:space="preserve">Реконструкция и ремонт на съществуващия терен в зависимост от неговите дадености, за да се осигури правилното </w:t>
            </w:r>
            <w:proofErr w:type="spellStart"/>
            <w:r w:rsidRPr="004D6661">
              <w:rPr>
                <w:rStyle w:val="2"/>
                <w:rFonts w:eastAsia="Arial"/>
                <w:sz w:val="22"/>
                <w:szCs w:val="22"/>
                <w:u w:val="none"/>
              </w:rPr>
              <w:t>водоотвеждане</w:t>
            </w:r>
            <w:proofErr w:type="spellEnd"/>
            <w:r w:rsidRPr="004D6661">
              <w:rPr>
                <w:rStyle w:val="2"/>
                <w:rFonts w:eastAsia="Arial"/>
                <w:sz w:val="22"/>
                <w:szCs w:val="22"/>
                <w:u w:val="none"/>
              </w:rPr>
              <w:t>, терасиране, изграждане на подходи към сгради, стъпала и     подпорни зидове, както и огради, ако е необходимо.</w:t>
            </w:r>
          </w:p>
          <w:p w:rsidR="00C32253" w:rsidRPr="004D6661" w:rsidRDefault="00C32253" w:rsidP="00C32253">
            <w:pPr>
              <w:spacing w:after="0" w:line="240" w:lineRule="auto"/>
              <w:rPr>
                <w:rFonts w:ascii="Times New Roman" w:hAnsi="Times New Roman" w:cs="Times New Roman"/>
              </w:rPr>
            </w:pPr>
          </w:p>
          <w:p w:rsidR="00C32253" w:rsidRPr="004D6661" w:rsidRDefault="00C32253" w:rsidP="00C32253">
            <w:pPr>
              <w:spacing w:after="0" w:line="240" w:lineRule="auto"/>
              <w:rPr>
                <w:rFonts w:ascii="Times New Roman" w:hAnsi="Times New Roman" w:cs="Times New Roman"/>
              </w:rPr>
            </w:pPr>
          </w:p>
          <w:p w:rsidR="00C32253" w:rsidRPr="004D6661" w:rsidRDefault="00C32253" w:rsidP="00C32253">
            <w:pPr>
              <w:spacing w:after="0" w:line="240" w:lineRule="auto"/>
              <w:rPr>
                <w:rFonts w:ascii="Times New Roman" w:hAnsi="Times New Roman" w:cs="Times New Roman"/>
              </w:rPr>
            </w:pPr>
          </w:p>
        </w:tc>
      </w:tr>
      <w:tr w:rsidR="00C32253" w:rsidRPr="004D6661" w:rsidTr="004F52FC">
        <w:trPr>
          <w:trHeight w:hRule="exact" w:val="914"/>
        </w:trPr>
        <w:tc>
          <w:tcPr>
            <w:tcW w:w="2263" w:type="dxa"/>
            <w:gridSpan w:val="2"/>
            <w:tcBorders>
              <w:top w:val="single" w:sz="4" w:space="0" w:color="auto"/>
              <w:left w:val="single" w:sz="4" w:space="0" w:color="auto"/>
              <w:bottom w:val="single" w:sz="4" w:space="0" w:color="auto"/>
            </w:tcBorders>
            <w:shd w:val="clear" w:color="auto" w:fill="FFFFFF"/>
          </w:tcPr>
          <w:p w:rsidR="00C32253" w:rsidRPr="004D6661" w:rsidRDefault="00C32253" w:rsidP="004D6661">
            <w:pPr>
              <w:spacing w:after="0" w:line="240" w:lineRule="auto"/>
              <w:jc w:val="both"/>
              <w:rPr>
                <w:rFonts w:ascii="Times New Roman" w:hAnsi="Times New Roman" w:cs="Times New Roman"/>
              </w:rPr>
            </w:pPr>
            <w:r w:rsidRPr="004D6661">
              <w:rPr>
                <w:rStyle w:val="a3"/>
                <w:rFonts w:eastAsiaTheme="minorHAnsi"/>
                <w:sz w:val="22"/>
                <w:szCs w:val="22"/>
              </w:rPr>
              <w:t>Възстановим ДДС</w:t>
            </w: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C32253" w:rsidRPr="004D6661" w:rsidRDefault="00C32253" w:rsidP="00C32253">
            <w:pPr>
              <w:spacing w:after="0"/>
              <w:rPr>
                <w:rStyle w:val="2"/>
                <w:rFonts w:eastAsia="Arial"/>
                <w:sz w:val="22"/>
                <w:szCs w:val="22"/>
                <w:u w:val="none"/>
              </w:rPr>
            </w:pPr>
            <w:r w:rsidRPr="004D6661">
              <w:rPr>
                <w:rStyle w:val="2"/>
                <w:rFonts w:eastAsia="Arial"/>
                <w:sz w:val="22"/>
                <w:szCs w:val="22"/>
                <w:u w:val="none"/>
              </w:rPr>
              <w:t xml:space="preserve">ДДС, подлежащ на възстановяване от компетентен орган по приходите съгласно разпоредбите на ЗДДС, и представлява </w:t>
            </w:r>
          </w:p>
          <w:p w:rsidR="00C32253" w:rsidRPr="004D6661" w:rsidRDefault="00C32253" w:rsidP="00C32253">
            <w:pPr>
              <w:spacing w:after="0"/>
              <w:rPr>
                <w:rFonts w:ascii="Times New Roman" w:hAnsi="Times New Roman" w:cs="Times New Roman"/>
              </w:rPr>
            </w:pPr>
            <w:r w:rsidRPr="004D6661">
              <w:rPr>
                <w:rStyle w:val="2"/>
                <w:rFonts w:eastAsia="Arial"/>
                <w:sz w:val="22"/>
                <w:szCs w:val="22"/>
                <w:u w:val="none"/>
              </w:rPr>
              <w:t>недопустим разход по Наредба №22/2015 г.</w:t>
            </w:r>
          </w:p>
        </w:tc>
      </w:tr>
      <w:tr w:rsidR="00C32253" w:rsidRPr="004D6661" w:rsidTr="004F52FC">
        <w:trPr>
          <w:trHeight w:hRule="exact" w:val="970"/>
        </w:trPr>
        <w:tc>
          <w:tcPr>
            <w:tcW w:w="2263" w:type="dxa"/>
            <w:gridSpan w:val="2"/>
            <w:tcBorders>
              <w:top w:val="single" w:sz="4" w:space="0" w:color="auto"/>
              <w:left w:val="single" w:sz="4" w:space="0" w:color="auto"/>
              <w:bottom w:val="single" w:sz="4" w:space="0" w:color="auto"/>
              <w:right w:val="single" w:sz="4" w:space="0" w:color="auto"/>
            </w:tcBorders>
            <w:shd w:val="clear" w:color="auto" w:fill="FFFFFF"/>
          </w:tcPr>
          <w:p w:rsidR="00C32253" w:rsidRPr="004D6661" w:rsidRDefault="00C32253" w:rsidP="004D6661">
            <w:pPr>
              <w:spacing w:after="0" w:line="240" w:lineRule="auto"/>
              <w:jc w:val="both"/>
              <w:rPr>
                <w:rFonts w:ascii="Times New Roman" w:hAnsi="Times New Roman" w:cs="Times New Roman"/>
              </w:rPr>
            </w:pPr>
            <w:r w:rsidRPr="004D6661">
              <w:rPr>
                <w:rStyle w:val="a3"/>
                <w:rFonts w:eastAsiaTheme="minorHAnsi"/>
                <w:sz w:val="22"/>
                <w:szCs w:val="22"/>
              </w:rPr>
              <w:t>Дейност</w:t>
            </w: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C32253" w:rsidRPr="004D6661" w:rsidRDefault="00C32253" w:rsidP="00C32253">
            <w:pPr>
              <w:spacing w:after="0"/>
              <w:rPr>
                <w:rFonts w:ascii="Times New Roman" w:hAnsi="Times New Roman" w:cs="Times New Roman"/>
              </w:rPr>
            </w:pPr>
            <w:r w:rsidRPr="004D6661">
              <w:rPr>
                <w:rStyle w:val="2"/>
                <w:rFonts w:eastAsia="Arial"/>
                <w:sz w:val="22"/>
                <w:szCs w:val="22"/>
                <w:u w:val="none"/>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p w:rsidR="00C32253" w:rsidRPr="004D6661" w:rsidRDefault="00C32253" w:rsidP="00C32253">
            <w:pPr>
              <w:rPr>
                <w:rFonts w:ascii="Times New Roman" w:hAnsi="Times New Roman" w:cs="Times New Roman"/>
              </w:rPr>
            </w:pPr>
          </w:p>
          <w:p w:rsidR="00C32253" w:rsidRPr="004D6661" w:rsidRDefault="00C32253" w:rsidP="00C32253">
            <w:pPr>
              <w:rPr>
                <w:rFonts w:ascii="Times New Roman" w:hAnsi="Times New Roman" w:cs="Times New Roman"/>
              </w:rPr>
            </w:pPr>
          </w:p>
          <w:p w:rsidR="00C32253" w:rsidRPr="004D6661" w:rsidRDefault="00C32253" w:rsidP="00C32253">
            <w:pPr>
              <w:rPr>
                <w:rFonts w:ascii="Times New Roman" w:hAnsi="Times New Roman" w:cs="Times New Roman"/>
              </w:rPr>
            </w:pPr>
          </w:p>
          <w:p w:rsidR="00C32253" w:rsidRPr="004D6661" w:rsidRDefault="00C32253" w:rsidP="00C32253">
            <w:pPr>
              <w:rPr>
                <w:rFonts w:ascii="Times New Roman" w:hAnsi="Times New Roman" w:cs="Times New Roman"/>
              </w:rPr>
            </w:pPr>
          </w:p>
        </w:tc>
      </w:tr>
      <w:tr w:rsidR="00C32253" w:rsidRPr="004D6661" w:rsidTr="004F52FC">
        <w:trPr>
          <w:trHeight w:hRule="exact" w:val="2387"/>
        </w:trPr>
        <w:tc>
          <w:tcPr>
            <w:tcW w:w="2263" w:type="dxa"/>
            <w:gridSpan w:val="2"/>
            <w:tcBorders>
              <w:top w:val="single" w:sz="4" w:space="0" w:color="auto"/>
              <w:left w:val="single" w:sz="4" w:space="0" w:color="auto"/>
            </w:tcBorders>
            <w:shd w:val="clear" w:color="auto" w:fill="FFFFFF"/>
          </w:tcPr>
          <w:p w:rsidR="00C32253" w:rsidRPr="004D6661" w:rsidRDefault="00C32253" w:rsidP="004F52FC">
            <w:pPr>
              <w:spacing w:after="0" w:line="240" w:lineRule="auto"/>
              <w:ind w:left="134"/>
              <w:rPr>
                <w:rFonts w:ascii="Times New Roman" w:hAnsi="Times New Roman" w:cs="Times New Roman"/>
              </w:rPr>
            </w:pPr>
            <w:r w:rsidRPr="004D6661">
              <w:rPr>
                <w:rStyle w:val="a3"/>
                <w:rFonts w:eastAsiaTheme="minorHAnsi"/>
                <w:sz w:val="22"/>
                <w:szCs w:val="22"/>
              </w:rPr>
              <w:lastRenderedPageBreak/>
              <w:t>Генериращ</w:t>
            </w:r>
            <w:r w:rsidR="004D6661">
              <w:rPr>
                <w:rStyle w:val="a3"/>
                <w:rFonts w:eastAsiaTheme="minorHAnsi"/>
                <w:sz w:val="22"/>
                <w:szCs w:val="22"/>
              </w:rPr>
              <w:t xml:space="preserve"> </w:t>
            </w:r>
            <w:r w:rsidRPr="004D6661">
              <w:rPr>
                <w:rStyle w:val="a3"/>
                <w:rFonts w:eastAsiaTheme="minorHAnsi"/>
                <w:sz w:val="22"/>
                <w:szCs w:val="22"/>
              </w:rPr>
              <w:t>нетни приходи проект</w:t>
            </w:r>
          </w:p>
        </w:tc>
        <w:tc>
          <w:tcPr>
            <w:tcW w:w="6965" w:type="dxa"/>
            <w:tcBorders>
              <w:top w:val="single" w:sz="4" w:space="0" w:color="auto"/>
              <w:left w:val="single" w:sz="4" w:space="0" w:color="auto"/>
              <w:right w:val="single" w:sz="4" w:space="0" w:color="auto"/>
            </w:tcBorders>
            <w:shd w:val="clear" w:color="auto" w:fill="FFFFFF"/>
            <w:vAlign w:val="bottom"/>
          </w:tcPr>
          <w:p w:rsidR="00C32253" w:rsidRPr="004D6661" w:rsidRDefault="00C32253" w:rsidP="00C32253">
            <w:pPr>
              <w:spacing w:after="0"/>
              <w:rPr>
                <w:rFonts w:ascii="Times New Roman" w:hAnsi="Times New Roman" w:cs="Times New Roman"/>
              </w:rPr>
            </w:pPr>
            <w:r w:rsidRPr="004D6661">
              <w:rPr>
                <w:rStyle w:val="2"/>
                <w:rFonts w:eastAsia="Arial"/>
                <w:sz w:val="22"/>
                <w:szCs w:val="22"/>
                <w:u w:val="none"/>
              </w:rPr>
              <w:t>По смисъла на чл. 61 от Регламент (ЕС) № 1303/2013 е проект, който след приключването си генерира нетни приходи - парични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w:t>
            </w:r>
          </w:p>
        </w:tc>
      </w:tr>
      <w:tr w:rsidR="00C32253" w:rsidRPr="004D6661" w:rsidTr="004F52FC">
        <w:trPr>
          <w:trHeight w:hRule="exact" w:val="564"/>
        </w:trPr>
        <w:tc>
          <w:tcPr>
            <w:tcW w:w="2263" w:type="dxa"/>
            <w:gridSpan w:val="2"/>
            <w:tcBorders>
              <w:top w:val="single" w:sz="4" w:space="0" w:color="auto"/>
              <w:left w:val="single" w:sz="4" w:space="0" w:color="auto"/>
              <w:bottom w:val="single" w:sz="4" w:space="0" w:color="auto"/>
            </w:tcBorders>
            <w:shd w:val="clear" w:color="auto" w:fill="FFFFFF"/>
            <w:vAlign w:val="bottom"/>
          </w:tcPr>
          <w:p w:rsidR="00C32253" w:rsidRPr="004D6661" w:rsidRDefault="00C32253" w:rsidP="004F52FC">
            <w:pPr>
              <w:spacing w:after="0" w:line="240" w:lineRule="auto"/>
              <w:ind w:left="134"/>
              <w:jc w:val="both"/>
              <w:rPr>
                <w:rFonts w:ascii="Times New Roman" w:hAnsi="Times New Roman" w:cs="Times New Roman"/>
              </w:rPr>
            </w:pPr>
            <w:r w:rsidRPr="004D6661">
              <w:rPr>
                <w:rStyle w:val="a3"/>
                <w:rFonts w:eastAsiaTheme="minorHAnsi"/>
                <w:sz w:val="22"/>
                <w:szCs w:val="22"/>
              </w:rPr>
              <w:t>Заинтересована</w:t>
            </w:r>
          </w:p>
          <w:p w:rsidR="00C32253" w:rsidRPr="004D6661" w:rsidRDefault="00C32253" w:rsidP="004F52FC">
            <w:pPr>
              <w:spacing w:after="0" w:line="240" w:lineRule="auto"/>
              <w:ind w:left="134"/>
              <w:jc w:val="both"/>
              <w:rPr>
                <w:rFonts w:ascii="Times New Roman" w:hAnsi="Times New Roman" w:cs="Times New Roman"/>
              </w:rPr>
            </w:pPr>
            <w:r w:rsidRPr="004D6661">
              <w:rPr>
                <w:rStyle w:val="a3"/>
                <w:rFonts w:eastAsiaTheme="minorHAnsi"/>
                <w:sz w:val="22"/>
                <w:szCs w:val="22"/>
              </w:rPr>
              <w:t>страна</w:t>
            </w:r>
          </w:p>
        </w:tc>
        <w:tc>
          <w:tcPr>
            <w:tcW w:w="6965" w:type="dxa"/>
            <w:tcBorders>
              <w:top w:val="single" w:sz="4" w:space="0" w:color="auto"/>
              <w:left w:val="single" w:sz="4" w:space="0" w:color="auto"/>
              <w:bottom w:val="single" w:sz="4" w:space="0" w:color="auto"/>
              <w:right w:val="single" w:sz="4" w:space="0" w:color="auto"/>
            </w:tcBorders>
            <w:shd w:val="clear" w:color="auto" w:fill="FFFFFF"/>
            <w:vAlign w:val="bottom"/>
          </w:tcPr>
          <w:p w:rsidR="00C32253" w:rsidRPr="004D6661" w:rsidRDefault="00C32253" w:rsidP="00C32253">
            <w:pPr>
              <w:spacing w:after="0"/>
              <w:rPr>
                <w:rStyle w:val="2"/>
                <w:rFonts w:eastAsia="Arial"/>
                <w:sz w:val="22"/>
                <w:szCs w:val="22"/>
                <w:u w:val="none"/>
              </w:rPr>
            </w:pPr>
            <w:r w:rsidRPr="004D6661">
              <w:rPr>
                <w:rStyle w:val="2"/>
                <w:rFonts w:eastAsia="Arial"/>
                <w:sz w:val="22"/>
                <w:szCs w:val="22"/>
                <w:u w:val="none"/>
              </w:rPr>
              <w:t>Група лица с общ интерес и възможности, свързани с реализиране на стратегия за ВОМР, включително и като потенциални.</w:t>
            </w:r>
          </w:p>
          <w:p w:rsidR="00C32253" w:rsidRPr="004D6661" w:rsidRDefault="00C32253" w:rsidP="00C32253">
            <w:pPr>
              <w:spacing w:after="0"/>
              <w:rPr>
                <w:rFonts w:ascii="Times New Roman" w:hAnsi="Times New Roman" w:cs="Times New Roman"/>
              </w:rPr>
            </w:pPr>
          </w:p>
        </w:tc>
      </w:tr>
      <w:tr w:rsidR="00927789" w:rsidRPr="004D6661" w:rsidTr="004F52FC">
        <w:trPr>
          <w:trHeight w:hRule="exact" w:val="2401"/>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Изкуствено създадени условия</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 xml:space="preserve">Всяко установено от Държавен фонд „Земеделие“ - Разплащателна агенция (ДФЗ-РА) или друг компетентен орган условие по смисъла на чл. 60 от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w:t>
            </w:r>
            <w:r w:rsidRPr="004D6661">
              <w:rPr>
                <w:rStyle w:val="2"/>
                <w:rFonts w:eastAsia="Arial"/>
                <w:sz w:val="22"/>
                <w:szCs w:val="22"/>
                <w:u w:val="none"/>
                <w:lang w:val="en-US" w:bidi="en-US"/>
              </w:rPr>
              <w:t xml:space="preserve">L </w:t>
            </w:r>
            <w:r w:rsidRPr="004D6661">
              <w:rPr>
                <w:rStyle w:val="2"/>
                <w:rFonts w:eastAsia="Arial"/>
                <w:sz w:val="22"/>
                <w:szCs w:val="22"/>
                <w:u w:val="none"/>
              </w:rPr>
              <w:t>227/69 от 31 юли 2014 г.) - инвестиции, за които е установена функционална несамостоятелност и/или изкуствено създадени условия за получаване на помощта с цел осъществяване на предимство в противоречие с целите на мярката.</w:t>
            </w:r>
          </w:p>
        </w:tc>
      </w:tr>
      <w:tr w:rsidR="00927789" w:rsidRPr="004D6661" w:rsidTr="004F52FC">
        <w:trPr>
          <w:trHeight w:hRule="exact" w:val="932"/>
        </w:trPr>
        <w:tc>
          <w:tcPr>
            <w:tcW w:w="2242" w:type="dxa"/>
            <w:tcBorders>
              <w:top w:val="single" w:sz="4" w:space="0" w:color="auto"/>
              <w:left w:val="single" w:sz="4" w:space="0" w:color="auto"/>
              <w:bottom w:val="single" w:sz="4" w:space="0" w:color="auto"/>
            </w:tcBorders>
            <w:shd w:val="clear" w:color="auto" w:fill="FFFFFF"/>
          </w:tcPr>
          <w:p w:rsidR="00D56B3C"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Инвестиционен</w:t>
            </w:r>
          </w:p>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проект</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Проект по смисъла на Закона за устройство на територията и Наредба № 4 за обхвата и съдържанието на инвестиционните проекти (ДВ, бр. 51 от 2001 г.), предназначен за строителството на обекта/</w:t>
            </w:r>
            <w:proofErr w:type="spellStart"/>
            <w:r w:rsidRPr="004D6661">
              <w:rPr>
                <w:rStyle w:val="2"/>
                <w:rFonts w:eastAsia="Arial"/>
                <w:sz w:val="22"/>
                <w:szCs w:val="22"/>
                <w:u w:val="none"/>
              </w:rPr>
              <w:t>ите</w:t>
            </w:r>
            <w:proofErr w:type="spellEnd"/>
            <w:r w:rsidRPr="004D6661">
              <w:rPr>
                <w:rStyle w:val="2"/>
                <w:rFonts w:eastAsia="Arial"/>
                <w:sz w:val="22"/>
                <w:szCs w:val="22"/>
                <w:u w:val="none"/>
              </w:rPr>
              <w:t>, включени в проекта.</w:t>
            </w:r>
            <w:r w:rsidR="00D56B3C" w:rsidRPr="004D6661">
              <w:rPr>
                <w:rStyle w:val="2"/>
                <w:rFonts w:eastAsia="Arial"/>
                <w:sz w:val="22"/>
                <w:szCs w:val="22"/>
                <w:u w:val="none"/>
              </w:rPr>
              <w:t xml:space="preserve"> </w:t>
            </w:r>
          </w:p>
        </w:tc>
      </w:tr>
      <w:tr w:rsidR="00927789" w:rsidRPr="004D6661" w:rsidTr="004F52FC">
        <w:trPr>
          <w:trHeight w:hRule="exact" w:val="770"/>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Инвестиция или</w:t>
            </w:r>
          </w:p>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инвестиционни</w:t>
            </w:r>
          </w:p>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разходи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Средствата, вложени за придобиване на активи, включително услугите по придобиването им.</w:t>
            </w:r>
          </w:p>
        </w:tc>
      </w:tr>
      <w:tr w:rsidR="00927789" w:rsidRPr="004D6661" w:rsidTr="004F52FC">
        <w:trPr>
          <w:trHeight w:hRule="exact" w:val="515"/>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Интензитет на помощта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60" w:lineRule="exact"/>
              <w:rPr>
                <w:rFonts w:ascii="Times New Roman" w:hAnsi="Times New Roman" w:cs="Times New Roman"/>
              </w:rPr>
            </w:pPr>
            <w:r w:rsidRPr="004D6661">
              <w:rPr>
                <w:rStyle w:val="2"/>
                <w:rFonts w:eastAsia="Arial"/>
                <w:sz w:val="22"/>
                <w:szCs w:val="22"/>
                <w:u w:val="none"/>
              </w:rPr>
              <w:t>Съотношението на публичното финансиране спрямо допустимите разходи по проекта, изразено в процент.</w:t>
            </w:r>
          </w:p>
        </w:tc>
      </w:tr>
      <w:tr w:rsidR="00927789" w:rsidRPr="004D6661" w:rsidTr="004F52FC">
        <w:trPr>
          <w:trHeight w:hRule="exact" w:val="264"/>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Кандидат</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Лице, подало проектно предложение към стратегия за ВОМР.</w:t>
            </w:r>
          </w:p>
        </w:tc>
      </w:tr>
      <w:tr w:rsidR="00927789" w:rsidRPr="004D6661" w:rsidTr="004F52FC">
        <w:trPr>
          <w:trHeight w:hRule="exact" w:val="264"/>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Междинно плащане</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Плащане за обособена част от одобрената и извършена инвестиция.</w:t>
            </w:r>
          </w:p>
        </w:tc>
      </w:tr>
      <w:tr w:rsidR="00927789" w:rsidRPr="004D6661" w:rsidTr="004F52FC">
        <w:trPr>
          <w:trHeight w:hRule="exact" w:val="515"/>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Минимална помощ</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ind w:left="120"/>
              <w:rPr>
                <w:rFonts w:ascii="Times New Roman" w:hAnsi="Times New Roman" w:cs="Times New Roman"/>
              </w:rPr>
            </w:pPr>
            <w:r w:rsidRPr="004D6661">
              <w:rPr>
                <w:rStyle w:val="2"/>
                <w:rFonts w:eastAsia="Arial"/>
                <w:sz w:val="22"/>
                <w:szCs w:val="22"/>
                <w:u w:val="none"/>
              </w:rPr>
              <w:t>Помощта по смисъла на § 1, т. 15 от допълнителната разпоредба на Закона за държавните помощи.</w:t>
            </w:r>
          </w:p>
        </w:tc>
      </w:tr>
      <w:tr w:rsidR="00927789" w:rsidRPr="004D6661" w:rsidTr="004F52FC">
        <w:trPr>
          <w:trHeight w:hRule="exact" w:val="1135"/>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Мобилни обекти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ind w:left="120"/>
              <w:rPr>
                <w:rFonts w:ascii="Times New Roman" w:hAnsi="Times New Roman" w:cs="Times New Roman"/>
              </w:rPr>
            </w:pPr>
            <w:r w:rsidRPr="004D6661">
              <w:rPr>
                <w:rStyle w:val="2"/>
                <w:rFonts w:eastAsia="Arial"/>
                <w:sz w:val="22"/>
                <w:szCs w:val="22"/>
                <w:u w:val="none"/>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услуги, свързани с културния живот и оборудвани за церите на инвестицията</w:t>
            </w:r>
          </w:p>
        </w:tc>
      </w:tr>
      <w:tr w:rsidR="00927789" w:rsidRPr="004D6661" w:rsidTr="004F52FC">
        <w:trPr>
          <w:trHeight w:hRule="exact" w:val="515"/>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Мярка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ind w:left="120"/>
              <w:rPr>
                <w:rFonts w:ascii="Times New Roman" w:hAnsi="Times New Roman" w:cs="Times New Roman"/>
              </w:rPr>
            </w:pPr>
            <w:r w:rsidRPr="004D6661">
              <w:rPr>
                <w:rStyle w:val="2"/>
                <w:rFonts w:eastAsia="Arial"/>
                <w:sz w:val="22"/>
                <w:szCs w:val="22"/>
                <w:u w:val="none"/>
              </w:rPr>
              <w:t>Съвкупност от дейности, способстващи за прилагане на приоритетите на СВОМР, подхода ВОМР и програмите, финансиращи СВОМР</w:t>
            </w:r>
          </w:p>
        </w:tc>
      </w:tr>
      <w:tr w:rsidR="00927789" w:rsidRPr="004D6661" w:rsidTr="004F52FC">
        <w:trPr>
          <w:trHeight w:hRule="exact" w:val="770"/>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D6661">
            <w:pPr>
              <w:spacing w:after="60" w:line="240" w:lineRule="auto"/>
              <w:ind w:left="120"/>
              <w:jc w:val="both"/>
              <w:rPr>
                <w:rFonts w:ascii="Times New Roman" w:hAnsi="Times New Roman" w:cs="Times New Roman"/>
              </w:rPr>
            </w:pPr>
            <w:r w:rsidRPr="004D6661">
              <w:rPr>
                <w:rStyle w:val="a3"/>
                <w:rFonts w:eastAsiaTheme="minorHAnsi"/>
                <w:sz w:val="22"/>
                <w:szCs w:val="22"/>
              </w:rPr>
              <w:lastRenderedPageBreak/>
              <w:t>Невъзстановим</w:t>
            </w:r>
          </w:p>
          <w:p w:rsidR="00927789" w:rsidRPr="004D6661" w:rsidRDefault="00927789" w:rsidP="004D6661">
            <w:pPr>
              <w:spacing w:before="60" w:after="0" w:line="240" w:lineRule="auto"/>
              <w:ind w:left="120"/>
              <w:jc w:val="both"/>
              <w:rPr>
                <w:rFonts w:ascii="Times New Roman" w:hAnsi="Times New Roman" w:cs="Times New Roman"/>
              </w:rPr>
            </w:pPr>
            <w:r w:rsidRPr="004D6661">
              <w:rPr>
                <w:rStyle w:val="a3"/>
                <w:rFonts w:eastAsiaTheme="minorHAnsi"/>
                <w:sz w:val="22"/>
                <w:szCs w:val="22"/>
              </w:rPr>
              <w:t>ДДС</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ДДС, неподлежащ на възстановяване от компетентен орган по приходите съгласно разпоредбите на ЗДДС, и представлява допустим разход по Наредба №22/2015 г.</w:t>
            </w:r>
          </w:p>
        </w:tc>
      </w:tr>
      <w:tr w:rsidR="00927789" w:rsidRPr="004D6661" w:rsidTr="004F52FC">
        <w:trPr>
          <w:trHeight w:hRule="exact" w:val="3603"/>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Независими оферти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Оферти, подадени от лица, които не се намират в следната свързаност помежду си или спрямо кандидата:</w:t>
            </w:r>
          </w:p>
          <w:p w:rsidR="00927789" w:rsidRPr="004D6661" w:rsidRDefault="00927789" w:rsidP="006D7DD7">
            <w:pPr>
              <w:tabs>
                <w:tab w:val="left" w:pos="228"/>
              </w:tabs>
              <w:spacing w:after="0"/>
              <w:rPr>
                <w:rFonts w:ascii="Times New Roman" w:hAnsi="Times New Roman" w:cs="Times New Roman"/>
              </w:rPr>
            </w:pPr>
            <w:r w:rsidRPr="004D6661">
              <w:rPr>
                <w:rStyle w:val="2"/>
                <w:rFonts w:eastAsia="Arial"/>
                <w:sz w:val="22"/>
                <w:szCs w:val="22"/>
                <w:u w:val="none"/>
              </w:rPr>
              <w:t>а)</w:t>
            </w:r>
            <w:r w:rsidRPr="004D6661">
              <w:rPr>
                <w:rStyle w:val="2"/>
                <w:rFonts w:eastAsia="Arial"/>
                <w:sz w:val="22"/>
                <w:szCs w:val="22"/>
                <w:u w:val="none"/>
              </w:rPr>
              <w:tab/>
              <w:t>едното участва в управлението на дружеството на другото;</w:t>
            </w:r>
          </w:p>
          <w:p w:rsidR="00927789" w:rsidRPr="004D6661" w:rsidRDefault="00927789" w:rsidP="006D7DD7">
            <w:pPr>
              <w:tabs>
                <w:tab w:val="left" w:pos="242"/>
              </w:tabs>
              <w:spacing w:after="0"/>
              <w:rPr>
                <w:rFonts w:ascii="Times New Roman" w:hAnsi="Times New Roman" w:cs="Times New Roman"/>
              </w:rPr>
            </w:pPr>
            <w:r w:rsidRPr="004D6661">
              <w:rPr>
                <w:rStyle w:val="2"/>
                <w:rFonts w:eastAsia="Arial"/>
                <w:sz w:val="22"/>
                <w:szCs w:val="22"/>
                <w:u w:val="none"/>
              </w:rPr>
              <w:t>б)</w:t>
            </w:r>
            <w:r w:rsidRPr="004D6661">
              <w:rPr>
                <w:rStyle w:val="2"/>
                <w:rFonts w:eastAsia="Arial"/>
                <w:sz w:val="22"/>
                <w:szCs w:val="22"/>
                <w:u w:val="none"/>
              </w:rPr>
              <w:tab/>
              <w:t>съдружници;</w:t>
            </w:r>
          </w:p>
          <w:p w:rsidR="00927789" w:rsidRPr="004D6661" w:rsidRDefault="00927789" w:rsidP="006D7DD7">
            <w:pPr>
              <w:tabs>
                <w:tab w:val="left" w:pos="237"/>
              </w:tabs>
              <w:spacing w:after="0"/>
              <w:rPr>
                <w:rFonts w:ascii="Times New Roman" w:hAnsi="Times New Roman" w:cs="Times New Roman"/>
              </w:rPr>
            </w:pPr>
            <w:r w:rsidRPr="004D6661">
              <w:rPr>
                <w:rStyle w:val="2"/>
                <w:rFonts w:eastAsia="Arial"/>
                <w:sz w:val="22"/>
                <w:szCs w:val="22"/>
                <w:u w:val="none"/>
              </w:rPr>
              <w:t>в)</w:t>
            </w:r>
            <w:r w:rsidRPr="004D6661">
              <w:rPr>
                <w:rStyle w:val="2"/>
                <w:rFonts w:eastAsia="Arial"/>
                <w:sz w:val="22"/>
                <w:szCs w:val="22"/>
                <w:u w:val="none"/>
              </w:rPr>
              <w:tab/>
              <w:t>съвместно контролират пряко трето лице;</w:t>
            </w:r>
          </w:p>
          <w:p w:rsidR="00927789" w:rsidRPr="004D6661" w:rsidRDefault="00927789" w:rsidP="006D7DD7">
            <w:pPr>
              <w:tabs>
                <w:tab w:val="left" w:pos="228"/>
              </w:tabs>
              <w:spacing w:after="0"/>
              <w:rPr>
                <w:rFonts w:ascii="Times New Roman" w:hAnsi="Times New Roman" w:cs="Times New Roman"/>
              </w:rPr>
            </w:pPr>
            <w:r w:rsidRPr="004D6661">
              <w:rPr>
                <w:rStyle w:val="2"/>
                <w:rFonts w:eastAsia="Arial"/>
                <w:sz w:val="22"/>
                <w:szCs w:val="22"/>
                <w:u w:val="none"/>
              </w:rPr>
              <w:t>г)</w:t>
            </w:r>
            <w:r w:rsidRPr="004D6661">
              <w:rPr>
                <w:rStyle w:val="2"/>
                <w:rFonts w:eastAsia="Arial"/>
                <w:sz w:val="22"/>
                <w:szCs w:val="22"/>
                <w:u w:val="none"/>
              </w:rPr>
              <w:tab/>
              <w:t>участват пряко в управлението или капитала на друго лице, поради което между тях могат да се уговарят условия, различни от обичайните;</w:t>
            </w:r>
          </w:p>
          <w:p w:rsidR="00927789" w:rsidRPr="004D6661" w:rsidRDefault="00927789" w:rsidP="006D7DD7">
            <w:pPr>
              <w:tabs>
                <w:tab w:val="left" w:pos="260"/>
              </w:tabs>
              <w:spacing w:after="0"/>
              <w:rPr>
                <w:rFonts w:ascii="Times New Roman" w:hAnsi="Times New Roman" w:cs="Times New Roman"/>
              </w:rPr>
            </w:pPr>
            <w:r w:rsidRPr="004D6661">
              <w:rPr>
                <w:rStyle w:val="2"/>
                <w:rFonts w:eastAsia="Arial"/>
                <w:sz w:val="22"/>
                <w:szCs w:val="22"/>
                <w:u w:val="none"/>
              </w:rPr>
              <w:t>д)</w:t>
            </w:r>
            <w:r w:rsidRPr="004D6661">
              <w:rPr>
                <w:rStyle w:val="2"/>
                <w:rFonts w:eastAsia="Arial"/>
                <w:sz w:val="22"/>
                <w:szCs w:val="22"/>
                <w:u w:val="none"/>
              </w:rPr>
              <w:tab/>
              <w:t>едното лице притежава повече от половината от броя на гласовете в общото събрание на другото лице;</w:t>
            </w:r>
          </w:p>
          <w:p w:rsidR="00927789" w:rsidRPr="004D6661" w:rsidRDefault="00927789" w:rsidP="006D7DD7">
            <w:pPr>
              <w:tabs>
                <w:tab w:val="left" w:pos="269"/>
              </w:tabs>
              <w:spacing w:after="0"/>
              <w:rPr>
                <w:rFonts w:ascii="Times New Roman" w:hAnsi="Times New Roman" w:cs="Times New Roman"/>
              </w:rPr>
            </w:pPr>
            <w:r w:rsidRPr="004D6661">
              <w:rPr>
                <w:rStyle w:val="2"/>
                <w:rFonts w:eastAsia="Arial"/>
                <w:sz w:val="22"/>
                <w:szCs w:val="22"/>
                <w:u w:val="none"/>
              </w:rPr>
              <w:t>е)</w:t>
            </w:r>
            <w:r w:rsidRPr="004D6661">
              <w:rPr>
                <w:rStyle w:val="2"/>
                <w:rFonts w:eastAsia="Arial"/>
                <w:sz w:val="22"/>
                <w:szCs w:val="22"/>
                <w:u w:val="none"/>
              </w:rPr>
              <w:tab/>
              <w:t>лицата, чиято дейност се контролира пряко или косвено от трето лице - физическо или юридическо;</w:t>
            </w:r>
          </w:p>
          <w:p w:rsidR="00927789" w:rsidRPr="004D6661" w:rsidRDefault="00927789" w:rsidP="006D7DD7">
            <w:pPr>
              <w:tabs>
                <w:tab w:val="left" w:pos="278"/>
              </w:tabs>
              <w:spacing w:after="0"/>
              <w:rPr>
                <w:rFonts w:ascii="Times New Roman" w:hAnsi="Times New Roman" w:cs="Times New Roman"/>
              </w:rPr>
            </w:pPr>
            <w:r w:rsidRPr="004D6661">
              <w:rPr>
                <w:rStyle w:val="2"/>
                <w:rFonts w:eastAsia="Arial"/>
                <w:sz w:val="22"/>
                <w:szCs w:val="22"/>
                <w:u w:val="none"/>
              </w:rPr>
              <w:t>ж)</w:t>
            </w:r>
            <w:r w:rsidRPr="004D6661">
              <w:rPr>
                <w:rStyle w:val="2"/>
                <w:rFonts w:eastAsia="Arial"/>
                <w:sz w:val="22"/>
                <w:szCs w:val="22"/>
                <w:u w:val="none"/>
              </w:rPr>
              <w:tab/>
              <w:t>лицата, едното от които е търговски представител на другото.</w:t>
            </w:r>
          </w:p>
        </w:tc>
      </w:tr>
      <w:tr w:rsidR="00927789" w:rsidRPr="004D6661" w:rsidTr="004F52FC">
        <w:trPr>
          <w:trHeight w:hRule="exact" w:val="2960"/>
        </w:trPr>
        <w:tc>
          <w:tcPr>
            <w:tcW w:w="2242" w:type="dxa"/>
            <w:tcBorders>
              <w:top w:val="single" w:sz="4" w:space="0" w:color="auto"/>
              <w:left w:val="single" w:sz="4" w:space="0" w:color="auto"/>
            </w:tcBorders>
            <w:shd w:val="clear" w:color="auto" w:fill="FFFFFF"/>
          </w:tcPr>
          <w:p w:rsidR="00927789" w:rsidRPr="004D6661" w:rsidRDefault="00927789" w:rsidP="004F52FC">
            <w:pPr>
              <w:spacing w:after="0" w:line="240" w:lineRule="auto"/>
              <w:ind w:left="134"/>
              <w:jc w:val="both"/>
              <w:rPr>
                <w:rFonts w:ascii="Times New Roman" w:hAnsi="Times New Roman" w:cs="Times New Roman"/>
              </w:rPr>
            </w:pPr>
            <w:r w:rsidRPr="004D6661">
              <w:rPr>
                <w:rStyle w:val="a3"/>
                <w:rFonts w:eastAsiaTheme="minorHAnsi"/>
                <w:sz w:val="22"/>
                <w:szCs w:val="22"/>
              </w:rPr>
              <w:t>Непредвидени</w:t>
            </w:r>
            <w:r w:rsidR="004F52FC">
              <w:rPr>
                <w:rStyle w:val="a3"/>
                <w:rFonts w:eastAsiaTheme="minorHAnsi"/>
                <w:sz w:val="22"/>
                <w:szCs w:val="22"/>
              </w:rPr>
              <w:t xml:space="preserve"> </w:t>
            </w:r>
            <w:r w:rsidRPr="004D6661">
              <w:rPr>
                <w:rStyle w:val="a3"/>
                <w:rFonts w:eastAsiaTheme="minorHAnsi"/>
                <w:sz w:val="22"/>
                <w:szCs w:val="22"/>
              </w:rPr>
              <w:t>разходи</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чл. 5 и 6 от Закона за обществените поръчки, новите строително-монтажни работи следва да бъдат възлагани по реда на Закона за обществените поръчки в случаите, когато не са допуснати изключения.</w:t>
            </w:r>
          </w:p>
        </w:tc>
      </w:tr>
      <w:tr w:rsidR="00927789" w:rsidRPr="004D6661" w:rsidTr="004F52FC">
        <w:trPr>
          <w:trHeight w:hRule="exact" w:val="766"/>
        </w:trPr>
        <w:tc>
          <w:tcPr>
            <w:tcW w:w="2242" w:type="dxa"/>
            <w:tcBorders>
              <w:top w:val="single" w:sz="4" w:space="0" w:color="auto"/>
              <w:left w:val="single" w:sz="4" w:space="0" w:color="auto"/>
            </w:tcBorders>
            <w:shd w:val="clear" w:color="auto" w:fill="FFFFFF"/>
            <w:vAlign w:val="bottom"/>
          </w:tcPr>
          <w:p w:rsidR="00927789" w:rsidRPr="004D6661" w:rsidRDefault="00927789" w:rsidP="004F52FC">
            <w:pPr>
              <w:spacing w:after="0" w:line="240" w:lineRule="auto"/>
              <w:ind w:left="134"/>
              <w:jc w:val="both"/>
              <w:rPr>
                <w:rFonts w:ascii="Times New Roman" w:hAnsi="Times New Roman" w:cs="Times New Roman"/>
              </w:rPr>
            </w:pPr>
            <w:r w:rsidRPr="004D6661">
              <w:rPr>
                <w:rStyle w:val="a3"/>
                <w:rFonts w:eastAsiaTheme="minorHAnsi"/>
                <w:sz w:val="22"/>
                <w:szCs w:val="22"/>
              </w:rPr>
              <w:t>Непреодолима сила или извънредни обстоятелства</w:t>
            </w:r>
          </w:p>
        </w:tc>
        <w:tc>
          <w:tcPr>
            <w:tcW w:w="6986" w:type="dxa"/>
            <w:gridSpan w:val="2"/>
            <w:tcBorders>
              <w:top w:val="single" w:sz="4" w:space="0" w:color="auto"/>
              <w:left w:val="single" w:sz="4" w:space="0" w:color="auto"/>
              <w:right w:val="single" w:sz="4" w:space="0" w:color="auto"/>
            </w:tcBorders>
            <w:shd w:val="clear" w:color="auto" w:fill="FFFFFF"/>
          </w:tcPr>
          <w:p w:rsidR="00927789" w:rsidRPr="004D6661" w:rsidRDefault="00927789" w:rsidP="006D7DD7">
            <w:pPr>
              <w:spacing w:after="0" w:line="246" w:lineRule="exact"/>
              <w:rPr>
                <w:rFonts w:ascii="Times New Roman" w:hAnsi="Times New Roman" w:cs="Times New Roman"/>
              </w:rPr>
            </w:pPr>
            <w:r w:rsidRPr="004D6661">
              <w:rPr>
                <w:rStyle w:val="2"/>
                <w:rFonts w:eastAsia="Arial"/>
                <w:sz w:val="22"/>
                <w:szCs w:val="22"/>
                <w:u w:val="none"/>
              </w:rPr>
              <w:t>Обстоятелства по смисъла на чл. 2, параграф 2 от Регламент (ЕС) № 1306/2013 г.</w:t>
            </w:r>
          </w:p>
        </w:tc>
      </w:tr>
      <w:tr w:rsidR="00927789" w:rsidRPr="004D6661" w:rsidTr="004F52FC">
        <w:trPr>
          <w:trHeight w:hRule="exact" w:val="1717"/>
        </w:trPr>
        <w:tc>
          <w:tcPr>
            <w:tcW w:w="2242" w:type="dxa"/>
            <w:tcBorders>
              <w:top w:val="single" w:sz="4" w:space="0" w:color="auto"/>
              <w:left w:val="single" w:sz="4" w:space="0" w:color="auto"/>
            </w:tcBorders>
            <w:shd w:val="clear" w:color="auto" w:fill="FFFFFF"/>
          </w:tcPr>
          <w:p w:rsidR="00927789" w:rsidRPr="004D6661" w:rsidRDefault="00927789" w:rsidP="004F52FC">
            <w:pPr>
              <w:spacing w:after="0" w:line="240" w:lineRule="auto"/>
              <w:ind w:left="134"/>
              <w:jc w:val="both"/>
              <w:rPr>
                <w:rFonts w:ascii="Times New Roman" w:hAnsi="Times New Roman" w:cs="Times New Roman"/>
              </w:rPr>
            </w:pPr>
            <w:r w:rsidRPr="004D6661">
              <w:rPr>
                <w:rStyle w:val="a3"/>
                <w:rFonts w:eastAsiaTheme="minorHAnsi"/>
                <w:sz w:val="22"/>
                <w:szCs w:val="22"/>
              </w:rPr>
              <w:t>Нередност</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927789" w:rsidRPr="004D6661" w:rsidTr="004F52FC">
        <w:trPr>
          <w:trHeight w:hRule="exact" w:val="515"/>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F52FC">
            <w:pPr>
              <w:spacing w:after="0" w:line="240" w:lineRule="auto"/>
              <w:ind w:left="134"/>
              <w:jc w:val="both"/>
              <w:rPr>
                <w:rFonts w:ascii="Times New Roman" w:hAnsi="Times New Roman" w:cs="Times New Roman"/>
              </w:rPr>
            </w:pPr>
            <w:r w:rsidRPr="004D6661">
              <w:rPr>
                <w:rStyle w:val="a3"/>
                <w:rFonts w:eastAsiaTheme="minorHAnsi"/>
                <w:sz w:val="22"/>
                <w:szCs w:val="22"/>
              </w:rPr>
              <w:t>Нестопанска</w:t>
            </w:r>
            <w:r w:rsidR="004F52FC">
              <w:t xml:space="preserve"> </w:t>
            </w:r>
            <w:r w:rsidRPr="004D6661">
              <w:rPr>
                <w:rStyle w:val="a3"/>
                <w:rFonts w:eastAsiaTheme="minorHAnsi"/>
                <w:sz w:val="22"/>
                <w:szCs w:val="22"/>
              </w:rPr>
              <w:t>дейност</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tcPr>
          <w:p w:rsidR="004F52FC" w:rsidRDefault="004F52FC" w:rsidP="006D7DD7">
            <w:pPr>
              <w:spacing w:after="0" w:line="210" w:lineRule="exact"/>
              <w:rPr>
                <w:rStyle w:val="2"/>
                <w:rFonts w:eastAsia="Arial"/>
                <w:sz w:val="22"/>
                <w:szCs w:val="22"/>
                <w:u w:val="none"/>
              </w:rPr>
            </w:pPr>
          </w:p>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Дейност, която не генерира приходи от продажби.</w:t>
            </w:r>
          </w:p>
        </w:tc>
      </w:tr>
      <w:tr w:rsidR="00927789" w:rsidRPr="004D6661" w:rsidTr="004F52FC">
        <w:trPr>
          <w:trHeight w:hRule="exact" w:val="544"/>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lastRenderedPageBreak/>
              <w:t>Оперативни</w:t>
            </w:r>
            <w:r w:rsidR="004F52FC">
              <w:t xml:space="preserve"> </w:t>
            </w:r>
            <w:r w:rsidRPr="004D6661">
              <w:rPr>
                <w:rStyle w:val="a3"/>
                <w:rFonts w:eastAsiaTheme="minorHAnsi"/>
                <w:sz w:val="22"/>
                <w:szCs w:val="22"/>
              </w:rPr>
              <w:t>разходи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Административните разходи и разходите, свързани с поддръжка, наеми, застраховка, текущ ремонт с поддръжка и експлоатация на активите.</w:t>
            </w:r>
          </w:p>
        </w:tc>
      </w:tr>
      <w:tr w:rsidR="00927789" w:rsidRPr="004D6661" w:rsidTr="004F52FC">
        <w:trPr>
          <w:trHeight w:hRule="exact" w:val="1131"/>
        </w:trPr>
        <w:tc>
          <w:tcPr>
            <w:tcW w:w="2242" w:type="dxa"/>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4F52FC">
            <w:pPr>
              <w:spacing w:after="0" w:line="240" w:lineRule="auto"/>
              <w:ind w:left="127"/>
              <w:rPr>
                <w:rFonts w:ascii="Times New Roman" w:hAnsi="Times New Roman" w:cs="Times New Roman"/>
              </w:rPr>
            </w:pPr>
            <w:r w:rsidRPr="004D6661">
              <w:rPr>
                <w:rStyle w:val="a3"/>
                <w:rFonts w:eastAsiaTheme="minorHAnsi"/>
                <w:sz w:val="22"/>
                <w:szCs w:val="22"/>
              </w:rPr>
              <w:t>Обект общинска образователна инфраструктура с местно значение</w:t>
            </w:r>
            <w:r w:rsidRPr="004D6661">
              <w:rPr>
                <w:rStyle w:val="a3"/>
                <w:rFonts w:eastAsiaTheme="minorHAnsi"/>
                <w:sz w:val="22"/>
                <w:szCs w:val="22"/>
                <w:vertAlign w:val="superscript"/>
              </w:rPr>
              <w:t>1</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Детска градина, финансирана чрез бюджета на общината, или основно или средно училище, финансирани чрез бюджета на общината.</w:t>
            </w:r>
          </w:p>
        </w:tc>
      </w:tr>
      <w:tr w:rsidR="00927789" w:rsidRPr="004D6661" w:rsidTr="004F52FC">
        <w:trPr>
          <w:trHeight w:hRule="exact" w:val="554"/>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F52FC">
            <w:pPr>
              <w:spacing w:after="0" w:line="240" w:lineRule="auto"/>
              <w:ind w:left="127"/>
              <w:rPr>
                <w:rFonts w:ascii="Times New Roman" w:hAnsi="Times New Roman" w:cs="Times New Roman"/>
              </w:rPr>
            </w:pPr>
            <w:r w:rsidRPr="004D6661">
              <w:rPr>
                <w:rStyle w:val="a3"/>
                <w:rFonts w:eastAsiaTheme="minorHAnsi"/>
                <w:sz w:val="22"/>
                <w:szCs w:val="22"/>
              </w:rPr>
              <w:t>Обект, свързан с културния живот</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60" w:lineRule="exact"/>
              <w:rPr>
                <w:rFonts w:ascii="Times New Roman" w:hAnsi="Times New Roman" w:cs="Times New Roman"/>
              </w:rPr>
            </w:pPr>
            <w:r w:rsidRPr="004D6661">
              <w:rPr>
                <w:rStyle w:val="2"/>
                <w:rFonts w:eastAsia="Arial"/>
                <w:sz w:val="22"/>
                <w:szCs w:val="22"/>
                <w:u w:val="none"/>
              </w:rPr>
              <w:t>Съвкупността от движимото и/или недвижимото имущество на едно читалище, театър, библиотека, музей, галерия или изложбена зала.</w:t>
            </w:r>
          </w:p>
        </w:tc>
      </w:tr>
      <w:tr w:rsidR="00927789" w:rsidRPr="004D6661" w:rsidTr="004F52FC">
        <w:trPr>
          <w:trHeight w:hRule="exact" w:val="860"/>
        </w:trPr>
        <w:tc>
          <w:tcPr>
            <w:tcW w:w="2242" w:type="dxa"/>
            <w:tcBorders>
              <w:top w:val="single" w:sz="4" w:space="0" w:color="auto"/>
              <w:left w:val="single" w:sz="4" w:space="0" w:color="auto"/>
              <w:bottom w:val="single" w:sz="4" w:space="0" w:color="auto"/>
            </w:tcBorders>
            <w:shd w:val="clear" w:color="auto" w:fill="FFFFFF"/>
          </w:tcPr>
          <w:p w:rsidR="004F52FC" w:rsidRDefault="00927789" w:rsidP="004F52FC">
            <w:pPr>
              <w:spacing w:after="0" w:line="240" w:lineRule="auto"/>
              <w:ind w:left="127"/>
              <w:jc w:val="both"/>
            </w:pPr>
            <w:r w:rsidRPr="004D6661">
              <w:rPr>
                <w:rStyle w:val="a3"/>
                <w:rFonts w:eastAsiaTheme="minorHAnsi"/>
                <w:sz w:val="22"/>
                <w:szCs w:val="22"/>
              </w:rPr>
              <w:t>Обикновена</w:t>
            </w:r>
          </w:p>
          <w:p w:rsidR="00927789" w:rsidRPr="004D6661" w:rsidRDefault="00927789" w:rsidP="004F52FC">
            <w:pPr>
              <w:spacing w:after="0" w:line="240" w:lineRule="auto"/>
              <w:ind w:firstLine="127"/>
              <w:jc w:val="both"/>
              <w:rPr>
                <w:rFonts w:ascii="Times New Roman" w:hAnsi="Times New Roman" w:cs="Times New Roman"/>
              </w:rPr>
            </w:pPr>
            <w:r w:rsidRPr="004D6661">
              <w:rPr>
                <w:rStyle w:val="a3"/>
                <w:rFonts w:eastAsiaTheme="minorHAnsi"/>
                <w:sz w:val="22"/>
                <w:szCs w:val="22"/>
              </w:rPr>
              <w:t>подмяна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927789" w:rsidRPr="004D6661" w:rsidTr="004F52FC">
        <w:trPr>
          <w:trHeight w:hRule="exact" w:val="515"/>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t>Обособена част от инвестицията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Завършен етап на изпълнение на инвестицията, който е обособен и е доведен до самостоятелна степен на завършеност.</w:t>
            </w:r>
          </w:p>
        </w:tc>
      </w:tr>
      <w:tr w:rsidR="00927789" w:rsidRPr="004D6661" w:rsidTr="004F52FC">
        <w:trPr>
          <w:trHeight w:hRule="exact" w:val="870"/>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t>Обществени услуги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tc>
      </w:tr>
      <w:tr w:rsidR="00927789" w:rsidRPr="004D6661" w:rsidTr="004F52FC">
        <w:trPr>
          <w:trHeight w:hRule="exact" w:val="264"/>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t>Общински сгради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Имотите съгласно чл. 2, ал. 1 от Закона за общинската собственост.</w:t>
            </w:r>
          </w:p>
        </w:tc>
      </w:tr>
      <w:tr w:rsidR="00927789" w:rsidRPr="004D6661" w:rsidTr="004F52FC">
        <w:trPr>
          <w:trHeight w:hRule="exact" w:val="264"/>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t>Операция</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Понятие по смисъла на чл. 2, т. 9 от Регламент (ЕС) № 1303/2013.</w:t>
            </w:r>
          </w:p>
        </w:tc>
      </w:tr>
      <w:tr w:rsidR="00927789" w:rsidRPr="004D6661" w:rsidTr="004F52FC">
        <w:trPr>
          <w:trHeight w:hRule="exact" w:val="273"/>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t>Очевидна грешка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Писмена грешка, грешка в пресмятането или други подобни очевидни</w:t>
            </w:r>
          </w:p>
        </w:tc>
      </w:tr>
      <w:tr w:rsidR="00927789" w:rsidRPr="004D6661" w:rsidTr="004F52FC">
        <w:trPr>
          <w:trHeight w:hRule="exact" w:val="519"/>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line="240" w:lineRule="auto"/>
              <w:jc w:val="both"/>
              <w:rPr>
                <w:rFonts w:ascii="Times New Roman" w:hAnsi="Times New Roman" w:cs="Times New Roman"/>
              </w:rPr>
            </w:pP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46" w:lineRule="exact"/>
              <w:rPr>
                <w:rFonts w:ascii="Times New Roman" w:hAnsi="Times New Roman" w:cs="Times New Roman"/>
              </w:rPr>
            </w:pPr>
            <w:r w:rsidRPr="004D6661">
              <w:rPr>
                <w:rStyle w:val="2"/>
                <w:rFonts w:eastAsia="Arial"/>
                <w:sz w:val="22"/>
                <w:szCs w:val="22"/>
                <w:u w:val="none"/>
              </w:rPr>
              <w:t>неточности, която може да бъде непосредствено установена при техническа проверка на информацията, съдържаща се в документите.</w:t>
            </w:r>
          </w:p>
        </w:tc>
      </w:tr>
      <w:tr w:rsidR="00927789" w:rsidRPr="004D6661" w:rsidTr="004F52FC">
        <w:trPr>
          <w:trHeight w:hRule="exact" w:val="515"/>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Подмярка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Съвкупност от дейности, спомагащи за прилагане приоритетите на ПРСР 2014 - 2020 г.</w:t>
            </w:r>
          </w:p>
        </w:tc>
      </w:tr>
      <w:tr w:rsidR="00927789" w:rsidRPr="004D6661" w:rsidTr="004F52FC">
        <w:trPr>
          <w:trHeight w:hRule="exact" w:val="770"/>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Площи за широко</w:t>
            </w:r>
          </w:p>
          <w:p w:rsidR="004F52FC" w:rsidRDefault="004F52FC" w:rsidP="004F52FC">
            <w:pPr>
              <w:spacing w:after="0" w:line="240" w:lineRule="auto"/>
              <w:ind w:left="120"/>
              <w:jc w:val="both"/>
              <w:rPr>
                <w:rStyle w:val="a3"/>
                <w:rFonts w:eastAsiaTheme="minorHAnsi"/>
                <w:sz w:val="22"/>
                <w:szCs w:val="22"/>
              </w:rPr>
            </w:pPr>
            <w:r>
              <w:rPr>
                <w:rStyle w:val="a3"/>
                <w:rFonts w:eastAsiaTheme="minorHAnsi"/>
                <w:sz w:val="22"/>
                <w:szCs w:val="22"/>
              </w:rPr>
              <w:t>о</w:t>
            </w:r>
            <w:r w:rsidR="00927789" w:rsidRPr="004D6661">
              <w:rPr>
                <w:rStyle w:val="a3"/>
                <w:rFonts w:eastAsiaTheme="minorHAnsi"/>
                <w:sz w:val="22"/>
                <w:szCs w:val="22"/>
              </w:rPr>
              <w:t>бществено</w:t>
            </w:r>
          </w:p>
          <w:p w:rsidR="00927789" w:rsidRPr="004D6661" w:rsidRDefault="00927789" w:rsidP="004F52FC">
            <w:pPr>
              <w:spacing w:after="0" w:line="240" w:lineRule="auto"/>
              <w:ind w:left="120"/>
              <w:jc w:val="both"/>
              <w:rPr>
                <w:rFonts w:ascii="Times New Roman" w:hAnsi="Times New Roman" w:cs="Times New Roman"/>
              </w:rPr>
            </w:pPr>
            <w:r w:rsidRPr="004D6661">
              <w:rPr>
                <w:rStyle w:val="a3"/>
                <w:rFonts w:eastAsiaTheme="minorHAnsi"/>
                <w:sz w:val="22"/>
                <w:szCs w:val="22"/>
              </w:rPr>
              <w:t>ползване</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Паркове, градини, улично озеленяване и площади.</w:t>
            </w:r>
          </w:p>
        </w:tc>
      </w:tr>
      <w:tr w:rsidR="00927789" w:rsidRPr="004D6661" w:rsidTr="004F52FC">
        <w:trPr>
          <w:trHeight w:hRule="exact" w:val="792"/>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Площадка за игра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927789" w:rsidRPr="004D6661" w:rsidTr="004F52FC">
        <w:trPr>
          <w:trHeight w:hRule="exact" w:val="600"/>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F52FC">
            <w:pPr>
              <w:spacing w:after="0" w:line="240" w:lineRule="auto"/>
              <w:ind w:left="120"/>
              <w:rPr>
                <w:rFonts w:ascii="Times New Roman" w:hAnsi="Times New Roman" w:cs="Times New Roman"/>
              </w:rPr>
            </w:pPr>
            <w:r w:rsidRPr="004D6661">
              <w:rPr>
                <w:rStyle w:val="a3"/>
                <w:rFonts w:eastAsiaTheme="minorHAnsi"/>
                <w:sz w:val="22"/>
                <w:szCs w:val="22"/>
              </w:rPr>
              <w:t>Получател на финансова помощ</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D56B3C">
            <w:pPr>
              <w:spacing w:after="0"/>
              <w:rPr>
                <w:rFonts w:ascii="Times New Roman" w:hAnsi="Times New Roman" w:cs="Times New Roman"/>
              </w:rPr>
            </w:pPr>
            <w:r w:rsidRPr="004D6661">
              <w:rPr>
                <w:rStyle w:val="2"/>
                <w:rFonts w:eastAsia="Arial"/>
                <w:sz w:val="22"/>
                <w:szCs w:val="22"/>
                <w:u w:val="none"/>
              </w:rPr>
              <w:t>Бенефициент по смисъла на Закона за управление на средствата от Европейските структурни и инвестиционни фондове.</w:t>
            </w:r>
          </w:p>
        </w:tc>
      </w:tr>
      <w:tr w:rsidR="00927789" w:rsidRPr="004D6661" w:rsidTr="004F52FC">
        <w:trPr>
          <w:trHeight w:hRule="exact" w:val="1133"/>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Принос в натура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927789" w:rsidRPr="004D6661" w:rsidTr="004F52FC">
        <w:trPr>
          <w:trHeight w:hRule="exact" w:val="300"/>
        </w:trPr>
        <w:tc>
          <w:tcPr>
            <w:tcW w:w="2242" w:type="dxa"/>
            <w:tcBorders>
              <w:top w:val="single" w:sz="4" w:space="0" w:color="auto"/>
              <w:left w:val="single" w:sz="4" w:space="0" w:color="auto"/>
              <w:bottom w:val="single" w:sz="4" w:space="0" w:color="auto"/>
            </w:tcBorders>
            <w:shd w:val="clear" w:color="auto" w:fill="FFFFFF"/>
            <w:vAlign w:val="bottom"/>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Проверка на място</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Проверка по смисъла на Регламент (ЕС) № 809/2014.</w:t>
            </w:r>
          </w:p>
        </w:tc>
      </w:tr>
      <w:tr w:rsidR="00927789" w:rsidRPr="004D6661" w:rsidTr="004F52FC">
        <w:trPr>
          <w:trHeight w:hRule="exact" w:val="770"/>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Проект</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w:t>
            </w:r>
          </w:p>
        </w:tc>
      </w:tr>
      <w:tr w:rsidR="00927789" w:rsidRPr="004D6661" w:rsidTr="004F52FC">
        <w:trPr>
          <w:trHeight w:hRule="exact" w:val="970"/>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lastRenderedPageBreak/>
              <w:t>Продължителност на неизпълнение</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Преценява съобразно времето, през което траят последиците или възможността за отстраняване на тези последици по приемлив за успешното изпълнение на проекта начин.</w:t>
            </w:r>
          </w:p>
        </w:tc>
      </w:tr>
      <w:tr w:rsidR="00927789" w:rsidRPr="004D6661" w:rsidTr="004F52FC">
        <w:trPr>
          <w:trHeight w:hRule="exact" w:val="1835"/>
        </w:trPr>
        <w:tc>
          <w:tcPr>
            <w:tcW w:w="2242" w:type="dxa"/>
            <w:tcBorders>
              <w:top w:val="single" w:sz="4" w:space="0" w:color="auto"/>
              <w:left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Публична финансова помощ</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927789" w:rsidRPr="004D6661" w:rsidTr="004F52FC">
        <w:trPr>
          <w:trHeight w:hRule="exact" w:val="515"/>
        </w:trPr>
        <w:tc>
          <w:tcPr>
            <w:tcW w:w="2242" w:type="dxa"/>
            <w:tcBorders>
              <w:top w:val="single" w:sz="4" w:space="0" w:color="auto"/>
              <w:left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Път</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6D7DD7">
            <w:pPr>
              <w:spacing w:after="0" w:line="260" w:lineRule="exact"/>
              <w:rPr>
                <w:rFonts w:ascii="Times New Roman" w:hAnsi="Times New Roman" w:cs="Times New Roman"/>
              </w:rPr>
            </w:pPr>
            <w:r w:rsidRPr="004D6661">
              <w:rPr>
                <w:rStyle w:val="2"/>
                <w:rFonts w:eastAsia="Arial"/>
                <w:sz w:val="22"/>
                <w:szCs w:val="22"/>
                <w:u w:val="none"/>
              </w:rPr>
              <w:t>Ивицата от земната повърхност съгласно § 1, т. 1 от допълнителните разпоредби на Закона за пътищата.</w:t>
            </w:r>
          </w:p>
        </w:tc>
      </w:tr>
      <w:tr w:rsidR="00927789" w:rsidRPr="004D6661" w:rsidTr="004F52FC">
        <w:trPr>
          <w:trHeight w:hRule="exact" w:val="636"/>
        </w:trPr>
        <w:tc>
          <w:tcPr>
            <w:tcW w:w="2242" w:type="dxa"/>
            <w:tcBorders>
              <w:top w:val="single" w:sz="4" w:space="0" w:color="auto"/>
              <w:left w:val="single" w:sz="4" w:space="0" w:color="auto"/>
            </w:tcBorders>
            <w:shd w:val="clear" w:color="auto" w:fill="FFFFFF"/>
            <w:vAlign w:val="bottom"/>
          </w:tcPr>
          <w:p w:rsidR="00927789" w:rsidRPr="004D6661" w:rsidRDefault="00927789" w:rsidP="004D6661">
            <w:pPr>
              <w:spacing w:after="120" w:line="240" w:lineRule="auto"/>
              <w:ind w:left="120"/>
              <w:jc w:val="both"/>
              <w:rPr>
                <w:rFonts w:ascii="Times New Roman" w:hAnsi="Times New Roman" w:cs="Times New Roman"/>
              </w:rPr>
            </w:pPr>
            <w:r w:rsidRPr="004D6661">
              <w:rPr>
                <w:rStyle w:val="a3"/>
                <w:rFonts w:eastAsiaTheme="minorHAnsi"/>
                <w:sz w:val="22"/>
                <w:szCs w:val="22"/>
              </w:rPr>
              <w:t>Пътни</w:t>
            </w:r>
          </w:p>
          <w:p w:rsidR="00927789" w:rsidRPr="004D6661" w:rsidRDefault="00927789" w:rsidP="004D6661">
            <w:pPr>
              <w:spacing w:before="120" w:after="0" w:line="240" w:lineRule="auto"/>
              <w:ind w:left="120"/>
              <w:jc w:val="both"/>
              <w:rPr>
                <w:rFonts w:ascii="Times New Roman" w:hAnsi="Times New Roman" w:cs="Times New Roman"/>
              </w:rPr>
            </w:pPr>
            <w:r w:rsidRPr="004D6661">
              <w:rPr>
                <w:rStyle w:val="a3"/>
                <w:rFonts w:eastAsiaTheme="minorHAnsi"/>
                <w:sz w:val="22"/>
                <w:szCs w:val="22"/>
              </w:rPr>
              <w:t>принадлежности</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Принадлежности съгласно § 1, т. 4 от допълнителните разпоредби на Закона за пътищата</w:t>
            </w:r>
          </w:p>
        </w:tc>
      </w:tr>
      <w:tr w:rsidR="00927789" w:rsidRPr="004D6661" w:rsidTr="004F52FC">
        <w:trPr>
          <w:trHeight w:hRule="exact" w:val="515"/>
        </w:trPr>
        <w:tc>
          <w:tcPr>
            <w:tcW w:w="2242" w:type="dxa"/>
            <w:tcBorders>
              <w:top w:val="single" w:sz="4" w:space="0" w:color="auto"/>
              <w:left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Пътни съоръжения</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Съоръжения съгласно § 1, т. 3 от допълнителните разпоредби на Закона за пътищата.</w:t>
            </w:r>
          </w:p>
        </w:tc>
      </w:tr>
      <w:tr w:rsidR="00927789" w:rsidRPr="004D6661" w:rsidTr="004F52FC">
        <w:trPr>
          <w:trHeight w:hRule="exact" w:val="1531"/>
        </w:trPr>
        <w:tc>
          <w:tcPr>
            <w:tcW w:w="2242" w:type="dxa"/>
            <w:tcBorders>
              <w:top w:val="single" w:sz="4" w:space="0" w:color="auto"/>
              <w:left w:val="single" w:sz="4" w:space="0" w:color="auto"/>
            </w:tcBorders>
            <w:shd w:val="clear" w:color="auto" w:fill="FFFFFF"/>
            <w:vAlign w:val="bottom"/>
          </w:tcPr>
          <w:p w:rsidR="00927789" w:rsidRPr="004D6661" w:rsidRDefault="00927789" w:rsidP="004F52FC">
            <w:pPr>
              <w:spacing w:after="0" w:line="240" w:lineRule="auto"/>
              <w:ind w:left="120"/>
              <w:rPr>
                <w:rFonts w:ascii="Times New Roman" w:hAnsi="Times New Roman" w:cs="Times New Roman"/>
              </w:rPr>
            </w:pPr>
            <w:r w:rsidRPr="004D6661">
              <w:rPr>
                <w:rStyle w:val="a3"/>
                <w:rFonts w:eastAsiaTheme="minorHAnsi"/>
                <w:sz w:val="22"/>
                <w:szCs w:val="22"/>
              </w:rPr>
              <w:t>Разходи за консултантски услуги, свързани с подготовка и управление на проекта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tc>
      </w:tr>
      <w:tr w:rsidR="00927789" w:rsidRPr="004D6661" w:rsidTr="004F52FC">
        <w:trPr>
          <w:trHeight w:hRule="exact" w:val="1196"/>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D6661">
            <w:pPr>
              <w:spacing w:after="0" w:line="240" w:lineRule="auto"/>
              <w:ind w:left="120"/>
              <w:jc w:val="both"/>
              <w:rPr>
                <w:rFonts w:ascii="Times New Roman" w:hAnsi="Times New Roman" w:cs="Times New Roman"/>
              </w:rPr>
            </w:pPr>
            <w:r w:rsidRPr="004D6661">
              <w:rPr>
                <w:rStyle w:val="a3"/>
                <w:rFonts w:eastAsiaTheme="minorHAnsi"/>
                <w:sz w:val="22"/>
                <w:szCs w:val="22"/>
              </w:rPr>
              <w:t>Реставрация</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w:t>
            </w:r>
            <w:r w:rsidR="00D56B3C" w:rsidRPr="004D6661">
              <w:rPr>
                <w:rStyle w:val="2"/>
                <w:rFonts w:eastAsia="Arial"/>
                <w:sz w:val="22"/>
                <w:szCs w:val="22"/>
                <w:u w:val="none"/>
              </w:rPr>
              <w:t xml:space="preserve"> </w:t>
            </w:r>
            <w:r w:rsidR="00D56B3C" w:rsidRPr="004D6661">
              <w:rPr>
                <w:rStyle w:val="2"/>
                <w:rFonts w:eastAsia="Arial"/>
                <w:sz w:val="22"/>
                <w:szCs w:val="22"/>
                <w:u w:val="none"/>
              </w:rPr>
              <w:t>запазване на автентичността</w:t>
            </w:r>
            <w:r w:rsidR="00D56B3C" w:rsidRPr="004D6661">
              <w:rPr>
                <w:rStyle w:val="2"/>
                <w:rFonts w:eastAsia="Arial"/>
                <w:sz w:val="22"/>
                <w:szCs w:val="22"/>
                <w:u w:val="none"/>
              </w:rPr>
              <w:t xml:space="preserve"> </w:t>
            </w:r>
            <w:r w:rsidR="00D56B3C" w:rsidRPr="004D6661">
              <w:rPr>
                <w:rStyle w:val="2"/>
                <w:rFonts w:eastAsia="Arial"/>
                <w:sz w:val="22"/>
                <w:szCs w:val="22"/>
                <w:u w:val="none"/>
              </w:rPr>
              <w:t>им</w:t>
            </w:r>
          </w:p>
        </w:tc>
      </w:tr>
      <w:tr w:rsidR="00927789" w:rsidRPr="004D6661" w:rsidTr="004F52FC">
        <w:trPr>
          <w:trHeight w:hRule="exact" w:val="515"/>
        </w:trPr>
        <w:tc>
          <w:tcPr>
            <w:tcW w:w="2242" w:type="dxa"/>
            <w:tcBorders>
              <w:top w:val="single" w:sz="4" w:space="0" w:color="auto"/>
              <w:left w:val="single" w:sz="4" w:space="0" w:color="auto"/>
            </w:tcBorders>
            <w:shd w:val="clear" w:color="auto" w:fill="FFFFFF"/>
            <w:vAlign w:val="bottom"/>
          </w:tcPr>
          <w:p w:rsidR="00927789" w:rsidRPr="004D6661" w:rsidRDefault="00927789" w:rsidP="004F52FC">
            <w:pPr>
              <w:spacing w:after="0" w:line="240" w:lineRule="auto"/>
              <w:ind w:left="127"/>
              <w:rPr>
                <w:rFonts w:ascii="Times New Roman" w:hAnsi="Times New Roman" w:cs="Times New Roman"/>
              </w:rPr>
            </w:pPr>
            <w:r w:rsidRPr="004D6661">
              <w:rPr>
                <w:rStyle w:val="a3"/>
                <w:rFonts w:eastAsiaTheme="minorHAnsi"/>
                <w:sz w:val="22"/>
                <w:szCs w:val="22"/>
              </w:rPr>
              <w:t>Рефинансиране на лихви</w:t>
            </w:r>
          </w:p>
        </w:tc>
        <w:tc>
          <w:tcPr>
            <w:tcW w:w="6986" w:type="dxa"/>
            <w:gridSpan w:val="2"/>
            <w:tcBorders>
              <w:top w:val="single" w:sz="4" w:space="0" w:color="auto"/>
              <w:left w:val="single" w:sz="4" w:space="0" w:color="auto"/>
              <w:right w:val="single" w:sz="4" w:space="0" w:color="auto"/>
            </w:tcBorders>
            <w:shd w:val="clear" w:color="auto" w:fill="FFFFFF"/>
          </w:tcPr>
          <w:p w:rsidR="00927789" w:rsidRPr="004D6661" w:rsidRDefault="00927789" w:rsidP="006D7DD7">
            <w:pPr>
              <w:spacing w:after="0" w:line="210" w:lineRule="exact"/>
              <w:rPr>
                <w:rFonts w:ascii="Times New Roman" w:hAnsi="Times New Roman" w:cs="Times New Roman"/>
              </w:rPr>
            </w:pPr>
            <w:r w:rsidRPr="004D6661">
              <w:rPr>
                <w:rStyle w:val="2"/>
                <w:rFonts w:eastAsia="Arial"/>
                <w:sz w:val="22"/>
                <w:szCs w:val="22"/>
                <w:u w:val="none"/>
              </w:rPr>
              <w:t>Възстановяване на извършените разходи за лихви по заеми.</w:t>
            </w:r>
          </w:p>
        </w:tc>
      </w:tr>
      <w:tr w:rsidR="00927789" w:rsidRPr="004D6661" w:rsidTr="004F52FC">
        <w:trPr>
          <w:trHeight w:hRule="exact" w:val="1194"/>
        </w:trPr>
        <w:tc>
          <w:tcPr>
            <w:tcW w:w="2242" w:type="dxa"/>
            <w:tcBorders>
              <w:top w:val="single" w:sz="4" w:space="0" w:color="auto"/>
              <w:left w:val="single" w:sz="4" w:space="0" w:color="auto"/>
            </w:tcBorders>
            <w:shd w:val="clear" w:color="auto" w:fill="FFFFFF"/>
          </w:tcPr>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t>Референтен разход</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Пазарн цени, ползвани от ДФЗ за сравняване при определяне основателността на разходите за различни инвестиции и/или общи разходи, определени чрез сравнение с цени на националния пазар или в други държави - членки на Европейския съюз.</w:t>
            </w:r>
          </w:p>
        </w:tc>
      </w:tr>
      <w:tr w:rsidR="00927789" w:rsidRPr="004D6661" w:rsidTr="004F52FC">
        <w:trPr>
          <w:trHeight w:hRule="exact" w:val="1702"/>
        </w:trPr>
        <w:tc>
          <w:tcPr>
            <w:tcW w:w="2242" w:type="dxa"/>
            <w:tcBorders>
              <w:top w:val="single" w:sz="4" w:space="0" w:color="auto"/>
              <w:left w:val="single" w:sz="4" w:space="0" w:color="auto"/>
              <w:bottom w:val="single" w:sz="4" w:space="0" w:color="auto"/>
            </w:tcBorders>
            <w:shd w:val="clear" w:color="auto" w:fill="FFFFFF"/>
          </w:tcPr>
          <w:p w:rsidR="004F52FC" w:rsidRDefault="00927789" w:rsidP="004F52FC">
            <w:pPr>
              <w:spacing w:after="0" w:line="240" w:lineRule="auto"/>
              <w:ind w:left="127"/>
              <w:jc w:val="both"/>
            </w:pPr>
            <w:r w:rsidRPr="004D6661">
              <w:rPr>
                <w:rStyle w:val="a3"/>
                <w:rFonts w:eastAsiaTheme="minorHAnsi"/>
                <w:sz w:val="22"/>
                <w:szCs w:val="22"/>
              </w:rPr>
              <w:t>Спортна</w:t>
            </w:r>
          </w:p>
          <w:p w:rsidR="00927789" w:rsidRPr="004D6661" w:rsidRDefault="00927789" w:rsidP="004F52FC">
            <w:pPr>
              <w:spacing w:after="0" w:line="240" w:lineRule="auto"/>
              <w:ind w:left="127"/>
              <w:jc w:val="both"/>
              <w:rPr>
                <w:rFonts w:ascii="Times New Roman" w:hAnsi="Times New Roman" w:cs="Times New Roman"/>
              </w:rPr>
            </w:pPr>
            <w:r w:rsidRPr="004D6661">
              <w:rPr>
                <w:rStyle w:val="a3"/>
                <w:rFonts w:eastAsiaTheme="minorHAnsi"/>
                <w:sz w:val="22"/>
                <w:szCs w:val="22"/>
              </w:rPr>
              <w:t>инфраструктура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Обществено достъпни открити площи, 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които могат да бъдат един обект: футболно игрище на малко поле, волейболно, баскетболно, хандбално игрище, площадка за скейтборд и ролери и площадка за игра.</w:t>
            </w:r>
          </w:p>
        </w:tc>
      </w:tr>
      <w:tr w:rsidR="00927789" w:rsidRPr="004D6661" w:rsidTr="004F52FC">
        <w:trPr>
          <w:trHeight w:hRule="exact" w:val="1820"/>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D6661">
            <w:pPr>
              <w:spacing w:after="60" w:line="240" w:lineRule="auto"/>
              <w:jc w:val="both"/>
              <w:rPr>
                <w:rFonts w:ascii="Times New Roman" w:hAnsi="Times New Roman" w:cs="Times New Roman"/>
              </w:rPr>
            </w:pPr>
            <w:r w:rsidRPr="004D6661">
              <w:rPr>
                <w:rStyle w:val="a3"/>
                <w:rFonts w:eastAsiaTheme="minorHAnsi"/>
                <w:sz w:val="22"/>
                <w:szCs w:val="22"/>
              </w:rPr>
              <w:lastRenderedPageBreak/>
              <w:t>Съпоставими</w:t>
            </w:r>
          </w:p>
          <w:p w:rsidR="00927789" w:rsidRPr="004D6661" w:rsidRDefault="00927789" w:rsidP="004D6661">
            <w:pPr>
              <w:spacing w:before="60" w:after="0" w:line="240" w:lineRule="auto"/>
              <w:jc w:val="both"/>
              <w:rPr>
                <w:rFonts w:ascii="Times New Roman" w:hAnsi="Times New Roman" w:cs="Times New Roman"/>
              </w:rPr>
            </w:pPr>
            <w:r w:rsidRPr="004D6661">
              <w:rPr>
                <w:rStyle w:val="a3"/>
                <w:rFonts w:eastAsiaTheme="minorHAnsi"/>
                <w:sz w:val="22"/>
                <w:szCs w:val="22"/>
              </w:rPr>
              <w:t>оферти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Оферти, които отговарят на запитване за оферта на кандидата и съдържат:</w:t>
            </w:r>
          </w:p>
          <w:p w:rsidR="00927789" w:rsidRPr="004D6661" w:rsidRDefault="00927789" w:rsidP="006D7DD7">
            <w:pPr>
              <w:tabs>
                <w:tab w:val="left" w:pos="228"/>
              </w:tabs>
              <w:spacing w:after="0"/>
              <w:rPr>
                <w:rFonts w:ascii="Times New Roman" w:hAnsi="Times New Roman" w:cs="Times New Roman"/>
              </w:rPr>
            </w:pPr>
            <w:r w:rsidRPr="004D6661">
              <w:rPr>
                <w:rStyle w:val="2"/>
                <w:rFonts w:eastAsia="Arial"/>
                <w:sz w:val="22"/>
                <w:szCs w:val="22"/>
                <w:u w:val="none"/>
              </w:rPr>
              <w:t>а)</w:t>
            </w:r>
            <w:r w:rsidRPr="004D6661">
              <w:rPr>
                <w:rStyle w:val="2"/>
                <w:rFonts w:eastAsia="Arial"/>
                <w:sz w:val="22"/>
                <w:szCs w:val="22"/>
                <w:u w:val="none"/>
              </w:rPr>
              <w:tab/>
              <w:t>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rsidR="00927789" w:rsidRPr="004D6661" w:rsidRDefault="00927789" w:rsidP="006D7DD7">
            <w:pPr>
              <w:tabs>
                <w:tab w:val="left" w:pos="415"/>
              </w:tabs>
              <w:spacing w:after="0"/>
              <w:rPr>
                <w:rFonts w:ascii="Times New Roman" w:hAnsi="Times New Roman" w:cs="Times New Roman"/>
              </w:rPr>
            </w:pPr>
            <w:r w:rsidRPr="004D6661">
              <w:rPr>
                <w:rStyle w:val="2"/>
                <w:rFonts w:eastAsia="Arial"/>
                <w:sz w:val="22"/>
                <w:szCs w:val="22"/>
                <w:u w:val="none"/>
              </w:rPr>
              <w:t>б)</w:t>
            </w:r>
            <w:r w:rsidRPr="004D6661">
              <w:rPr>
                <w:rStyle w:val="2"/>
                <w:rFonts w:eastAsia="Arial"/>
                <w:sz w:val="22"/>
                <w:szCs w:val="22"/>
                <w:u w:val="none"/>
              </w:rPr>
              <w:tab/>
              <w:t>количествено-стойностни сметки - в случаите, когато се кандидатства за разходи за извършване на строително-монтажни работи.</w:t>
            </w:r>
          </w:p>
        </w:tc>
      </w:tr>
      <w:tr w:rsidR="00927789" w:rsidRPr="004D6661" w:rsidTr="004F52FC">
        <w:trPr>
          <w:trHeight w:hRule="exact" w:val="2413"/>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jc w:val="both"/>
              <w:rPr>
                <w:rFonts w:ascii="Times New Roman" w:hAnsi="Times New Roman" w:cs="Times New Roman"/>
              </w:rPr>
            </w:pPr>
            <w:r w:rsidRPr="004D6661">
              <w:rPr>
                <w:rStyle w:val="a3"/>
                <w:rFonts w:eastAsiaTheme="minorHAnsi"/>
                <w:sz w:val="22"/>
                <w:szCs w:val="22"/>
              </w:rPr>
              <w:t>Текущ ремонт</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rsidR="00927789" w:rsidRPr="004D6661" w:rsidRDefault="00927789" w:rsidP="006D7DD7">
            <w:pPr>
              <w:tabs>
                <w:tab w:val="left" w:pos="223"/>
              </w:tabs>
              <w:spacing w:after="0"/>
              <w:rPr>
                <w:rFonts w:ascii="Times New Roman" w:hAnsi="Times New Roman" w:cs="Times New Roman"/>
              </w:rPr>
            </w:pPr>
            <w:r w:rsidRPr="004D6661">
              <w:rPr>
                <w:rStyle w:val="2"/>
                <w:rFonts w:eastAsia="Arial"/>
                <w:sz w:val="22"/>
                <w:szCs w:val="22"/>
                <w:u w:val="none"/>
              </w:rPr>
              <w:t>а)</w:t>
            </w:r>
            <w:r w:rsidRPr="004D6661">
              <w:rPr>
                <w:rStyle w:val="2"/>
                <w:rFonts w:eastAsia="Arial"/>
                <w:sz w:val="22"/>
                <w:szCs w:val="22"/>
                <w:u w:val="none"/>
              </w:rPr>
              <w:tab/>
              <w:t>засяга конструкцията на сградата;</w:t>
            </w:r>
          </w:p>
          <w:p w:rsidR="00927789" w:rsidRPr="004D6661" w:rsidRDefault="00927789" w:rsidP="006D7DD7">
            <w:pPr>
              <w:tabs>
                <w:tab w:val="left" w:pos="469"/>
              </w:tabs>
              <w:spacing w:after="0"/>
              <w:rPr>
                <w:rFonts w:ascii="Times New Roman" w:hAnsi="Times New Roman" w:cs="Times New Roman"/>
              </w:rPr>
            </w:pPr>
            <w:r w:rsidRPr="004D6661">
              <w:rPr>
                <w:rStyle w:val="2"/>
                <w:rFonts w:eastAsia="Arial"/>
                <w:sz w:val="22"/>
                <w:szCs w:val="22"/>
                <w:u w:val="none"/>
              </w:rPr>
              <w:t>б)</w:t>
            </w:r>
            <w:r w:rsidRPr="004D6661">
              <w:rPr>
                <w:rStyle w:val="2"/>
                <w:rFonts w:eastAsia="Arial"/>
                <w:sz w:val="22"/>
                <w:szCs w:val="22"/>
                <w:u w:val="none"/>
              </w:rPr>
              <w:tab/>
              <w:t>извършват дейности, като премахване, преместване на съществуващи зидове и направа на отвори в тях, когато засягат конструкцията на сградата;</w:t>
            </w:r>
          </w:p>
          <w:p w:rsidR="00927789" w:rsidRPr="004D6661" w:rsidRDefault="00927789" w:rsidP="006D7DD7">
            <w:pPr>
              <w:tabs>
                <w:tab w:val="left" w:pos="232"/>
              </w:tabs>
              <w:spacing w:after="0"/>
              <w:rPr>
                <w:rFonts w:ascii="Times New Roman" w:hAnsi="Times New Roman" w:cs="Times New Roman"/>
              </w:rPr>
            </w:pPr>
            <w:r w:rsidRPr="004D6661">
              <w:rPr>
                <w:rStyle w:val="2"/>
                <w:rFonts w:eastAsia="Arial"/>
                <w:sz w:val="22"/>
                <w:szCs w:val="22"/>
                <w:u w:val="none"/>
              </w:rPr>
              <w:t>в)</w:t>
            </w:r>
            <w:r w:rsidRPr="004D6661">
              <w:rPr>
                <w:rStyle w:val="2"/>
                <w:rFonts w:eastAsia="Arial"/>
                <w:sz w:val="22"/>
                <w:szCs w:val="22"/>
                <w:u w:val="none"/>
              </w:rPr>
              <w:tab/>
              <w:t>променя предназначението на помещенията и натоварванията в тях.</w:t>
            </w:r>
          </w:p>
        </w:tc>
      </w:tr>
      <w:tr w:rsidR="00927789" w:rsidRPr="004D6661" w:rsidTr="004F52FC">
        <w:trPr>
          <w:trHeight w:hRule="exact" w:val="499"/>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jc w:val="both"/>
              <w:rPr>
                <w:rFonts w:ascii="Times New Roman" w:hAnsi="Times New Roman" w:cs="Times New Roman"/>
              </w:rPr>
            </w:pPr>
            <w:r w:rsidRPr="004D6661">
              <w:rPr>
                <w:rStyle w:val="a3"/>
                <w:rFonts w:eastAsiaTheme="minorHAnsi"/>
                <w:sz w:val="22"/>
                <w:szCs w:val="22"/>
              </w:rPr>
              <w:t>Терен</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927789" w:rsidRPr="004D6661" w:rsidTr="004F52FC">
        <w:trPr>
          <w:trHeight w:hRule="exact" w:val="626"/>
        </w:trPr>
        <w:tc>
          <w:tcPr>
            <w:tcW w:w="2242" w:type="dxa"/>
            <w:tcBorders>
              <w:top w:val="single" w:sz="4" w:space="0" w:color="auto"/>
              <w:left w:val="single" w:sz="4" w:space="0" w:color="auto"/>
              <w:bottom w:val="single" w:sz="4" w:space="0" w:color="auto"/>
            </w:tcBorders>
            <w:shd w:val="clear" w:color="auto" w:fill="FFFFFF"/>
            <w:vAlign w:val="bottom"/>
          </w:tcPr>
          <w:p w:rsidR="004F52FC" w:rsidRDefault="00927789" w:rsidP="004F52FC">
            <w:pPr>
              <w:spacing w:after="0" w:line="240" w:lineRule="auto"/>
              <w:jc w:val="both"/>
            </w:pPr>
            <w:r w:rsidRPr="004D6661">
              <w:rPr>
                <w:rStyle w:val="a3"/>
                <w:rFonts w:eastAsiaTheme="minorHAnsi"/>
                <w:sz w:val="22"/>
                <w:szCs w:val="22"/>
              </w:rPr>
              <w:t>Техническа</w:t>
            </w:r>
          </w:p>
          <w:p w:rsidR="00927789" w:rsidRPr="004D6661" w:rsidRDefault="00927789" w:rsidP="004F52FC">
            <w:pPr>
              <w:spacing w:after="0" w:line="240" w:lineRule="auto"/>
              <w:jc w:val="both"/>
              <w:rPr>
                <w:rFonts w:ascii="Times New Roman" w:hAnsi="Times New Roman" w:cs="Times New Roman"/>
              </w:rPr>
            </w:pPr>
            <w:r w:rsidRPr="004D6661">
              <w:rPr>
                <w:rStyle w:val="a3"/>
                <w:rFonts w:eastAsiaTheme="minorHAnsi"/>
                <w:sz w:val="22"/>
                <w:szCs w:val="22"/>
              </w:rPr>
              <w:t>спецификация</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Документ, в който се определят изисквания към характеристики на стоката, услугата или строителството.</w:t>
            </w:r>
          </w:p>
        </w:tc>
      </w:tr>
      <w:tr w:rsidR="00927789" w:rsidRPr="004D6661" w:rsidTr="004F52FC">
        <w:trPr>
          <w:trHeight w:hRule="exact" w:val="1243"/>
        </w:trPr>
        <w:tc>
          <w:tcPr>
            <w:tcW w:w="2242" w:type="dxa"/>
            <w:tcBorders>
              <w:top w:val="single" w:sz="4" w:space="0" w:color="auto"/>
              <w:left w:val="single" w:sz="4" w:space="0" w:color="auto"/>
              <w:bottom w:val="single" w:sz="4" w:space="0" w:color="auto"/>
            </w:tcBorders>
            <w:shd w:val="clear" w:color="auto" w:fill="FFFFFF"/>
          </w:tcPr>
          <w:p w:rsidR="004D6661" w:rsidRPr="004D6661" w:rsidRDefault="00927789" w:rsidP="004D6661">
            <w:pPr>
              <w:spacing w:after="0" w:line="240" w:lineRule="auto"/>
              <w:jc w:val="both"/>
              <w:rPr>
                <w:rFonts w:ascii="Times New Roman" w:hAnsi="Times New Roman" w:cs="Times New Roman"/>
              </w:rPr>
            </w:pPr>
            <w:r w:rsidRPr="004D6661">
              <w:rPr>
                <w:rStyle w:val="a3"/>
                <w:rFonts w:eastAsiaTheme="minorHAnsi"/>
                <w:sz w:val="22"/>
                <w:szCs w:val="22"/>
              </w:rPr>
              <w:t>Транспортни</w:t>
            </w:r>
          </w:p>
          <w:p w:rsidR="00927789" w:rsidRPr="004D6661" w:rsidRDefault="00927789" w:rsidP="004D6661">
            <w:pPr>
              <w:spacing w:after="0" w:line="240" w:lineRule="auto"/>
              <w:jc w:val="both"/>
              <w:rPr>
                <w:rFonts w:ascii="Times New Roman" w:hAnsi="Times New Roman" w:cs="Times New Roman"/>
              </w:rPr>
            </w:pPr>
            <w:r w:rsidRPr="004D6661">
              <w:rPr>
                <w:rStyle w:val="a3"/>
                <w:rFonts w:eastAsiaTheme="minorHAnsi"/>
                <w:sz w:val="22"/>
                <w:szCs w:val="22"/>
              </w:rPr>
              <w:t>средства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Моторни превозни средства, които не позволяват използването им за други цели освен изключително и само за осъществяване на дейности за предоставяне на социални услуги и оборудвани за целите на инвестицията</w:t>
            </w:r>
          </w:p>
        </w:tc>
      </w:tr>
      <w:tr w:rsidR="00927789" w:rsidRPr="004D6661" w:rsidTr="004F52FC">
        <w:trPr>
          <w:trHeight w:hRule="exact" w:val="770"/>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jc w:val="both"/>
              <w:rPr>
                <w:rFonts w:ascii="Times New Roman" w:hAnsi="Times New Roman" w:cs="Times New Roman"/>
              </w:rPr>
            </w:pPr>
            <w:r w:rsidRPr="004D6661">
              <w:rPr>
                <w:rStyle w:val="a3"/>
                <w:rFonts w:eastAsiaTheme="minorHAnsi"/>
                <w:sz w:val="22"/>
                <w:szCs w:val="22"/>
              </w:rPr>
              <w:t>Тротоар</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line="255" w:lineRule="exact"/>
              <w:rPr>
                <w:rFonts w:ascii="Times New Roman" w:hAnsi="Times New Roman" w:cs="Times New Roman"/>
              </w:rPr>
            </w:pPr>
            <w:r w:rsidRPr="004D6661">
              <w:rPr>
                <w:rStyle w:val="2"/>
                <w:rFonts w:eastAsia="Arial"/>
                <w:sz w:val="22"/>
                <w:szCs w:val="22"/>
                <w:u w:val="none"/>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927789" w:rsidRPr="004D6661" w:rsidTr="004F52FC">
        <w:trPr>
          <w:trHeight w:hRule="exact" w:val="1073"/>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0" w:line="240" w:lineRule="auto"/>
              <w:jc w:val="both"/>
              <w:rPr>
                <w:rFonts w:ascii="Times New Roman" w:hAnsi="Times New Roman" w:cs="Times New Roman"/>
              </w:rPr>
            </w:pPr>
            <w:r w:rsidRPr="004D6661">
              <w:rPr>
                <w:rStyle w:val="a3"/>
                <w:rFonts w:eastAsiaTheme="minorHAnsi"/>
                <w:sz w:val="22"/>
                <w:szCs w:val="22"/>
              </w:rPr>
              <w:t>Улица</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Част от комуникационно-транспортната система на урбанизираните територии, която обхваща уличната мрежа съгласно Наредба № 2 от 2004 г. за планиране и проектиране на комуникационно-транспортните системи на урбанизираните територии (ДВ, бр. 89 от 2004 г.).</w:t>
            </w:r>
          </w:p>
        </w:tc>
      </w:tr>
      <w:tr w:rsidR="00927789" w:rsidRPr="004D6661" w:rsidTr="004F52FC">
        <w:trPr>
          <w:trHeight w:hRule="exact" w:val="1429"/>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D6661">
            <w:pPr>
              <w:spacing w:after="120" w:line="240" w:lineRule="auto"/>
              <w:jc w:val="both"/>
              <w:rPr>
                <w:rFonts w:ascii="Times New Roman" w:hAnsi="Times New Roman" w:cs="Times New Roman"/>
              </w:rPr>
            </w:pPr>
            <w:r w:rsidRPr="004D6661">
              <w:rPr>
                <w:rStyle w:val="a3"/>
                <w:rFonts w:eastAsiaTheme="minorHAnsi"/>
                <w:sz w:val="22"/>
                <w:szCs w:val="22"/>
              </w:rPr>
              <w:t>Улични</w:t>
            </w:r>
          </w:p>
          <w:p w:rsidR="00927789" w:rsidRPr="004D6661" w:rsidRDefault="00927789" w:rsidP="004D6661">
            <w:pPr>
              <w:spacing w:before="120" w:after="0" w:line="240" w:lineRule="auto"/>
              <w:jc w:val="both"/>
              <w:rPr>
                <w:rFonts w:ascii="Times New Roman" w:hAnsi="Times New Roman" w:cs="Times New Roman"/>
              </w:rPr>
            </w:pPr>
            <w:r w:rsidRPr="004D6661">
              <w:rPr>
                <w:rStyle w:val="a3"/>
                <w:rFonts w:eastAsiaTheme="minorHAnsi"/>
                <w:sz w:val="22"/>
                <w:szCs w:val="22"/>
              </w:rPr>
              <w:t>принадлежности</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6D7DD7">
            <w:pPr>
              <w:spacing w:after="0"/>
              <w:rPr>
                <w:rFonts w:ascii="Times New Roman" w:hAnsi="Times New Roman" w:cs="Times New Roman"/>
              </w:rPr>
            </w:pPr>
            <w:r w:rsidRPr="004D6661">
              <w:rPr>
                <w:rStyle w:val="2"/>
                <w:rFonts w:eastAsia="Arial"/>
                <w:sz w:val="22"/>
                <w:szCs w:val="22"/>
                <w:u w:val="none"/>
              </w:rPr>
              <w:t>Принадлежности от комуникационно-транспортната система на урбанизираните територии, която обхваща уличната мрежа и които включват улична маркировка, енергозахранващите и осветителните съоръжения и тела, спирки за масовия градски транспорт, пейки, съдове за събиране на отпадъци и камери за видеонаблюдение.</w:t>
            </w:r>
          </w:p>
        </w:tc>
      </w:tr>
      <w:tr w:rsidR="00927789" w:rsidRPr="004D6661" w:rsidTr="004F52FC">
        <w:trPr>
          <w:trHeight w:hRule="exact" w:val="1124"/>
        </w:trPr>
        <w:tc>
          <w:tcPr>
            <w:tcW w:w="2242" w:type="dxa"/>
            <w:tcBorders>
              <w:top w:val="single" w:sz="4" w:space="0" w:color="auto"/>
              <w:left w:val="single" w:sz="4" w:space="0" w:color="auto"/>
              <w:bottom w:val="single" w:sz="4" w:space="0" w:color="auto"/>
            </w:tcBorders>
            <w:shd w:val="clear" w:color="auto" w:fill="FFFFFF"/>
          </w:tcPr>
          <w:p w:rsidR="004F52FC" w:rsidRDefault="00927789" w:rsidP="004F52FC">
            <w:pPr>
              <w:spacing w:after="0" w:line="240" w:lineRule="auto"/>
            </w:pPr>
            <w:r w:rsidRPr="004D6661">
              <w:rPr>
                <w:rStyle w:val="a3"/>
                <w:rFonts w:eastAsiaTheme="minorHAnsi"/>
                <w:sz w:val="22"/>
                <w:szCs w:val="22"/>
              </w:rPr>
              <w:lastRenderedPageBreak/>
              <w:t>Улични</w:t>
            </w:r>
          </w:p>
          <w:p w:rsidR="00927789" w:rsidRPr="004D6661" w:rsidRDefault="00927789" w:rsidP="004F52FC">
            <w:pPr>
              <w:spacing w:after="0" w:line="240" w:lineRule="auto"/>
              <w:rPr>
                <w:rFonts w:ascii="Times New Roman" w:hAnsi="Times New Roman" w:cs="Times New Roman"/>
              </w:rPr>
            </w:pPr>
            <w:r w:rsidRPr="004D6661">
              <w:rPr>
                <w:rStyle w:val="a3"/>
                <w:rFonts w:eastAsiaTheme="minorHAnsi"/>
                <w:sz w:val="22"/>
                <w:szCs w:val="22"/>
              </w:rPr>
              <w:t>съоръжения</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4F52FC">
            <w:pPr>
              <w:spacing w:after="0"/>
              <w:rPr>
                <w:rFonts w:ascii="Times New Roman" w:hAnsi="Times New Roman" w:cs="Times New Roman"/>
              </w:rPr>
            </w:pPr>
            <w:r w:rsidRPr="004D6661">
              <w:rPr>
                <w:rStyle w:val="2"/>
                <w:rFonts w:eastAsia="Arial"/>
                <w:sz w:val="22"/>
                <w:szCs w:val="22"/>
                <w:u w:val="none"/>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r w:rsidR="00927789" w:rsidRPr="004D6661" w:rsidTr="004F52FC">
        <w:trPr>
          <w:trHeight w:hRule="exact" w:val="515"/>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F52FC">
            <w:pPr>
              <w:spacing w:after="0" w:line="240" w:lineRule="auto"/>
              <w:rPr>
                <w:rFonts w:ascii="Times New Roman" w:hAnsi="Times New Roman" w:cs="Times New Roman"/>
              </w:rPr>
            </w:pPr>
            <w:r w:rsidRPr="004D6661">
              <w:rPr>
                <w:rStyle w:val="a3"/>
                <w:rFonts w:eastAsiaTheme="minorHAnsi"/>
                <w:sz w:val="22"/>
                <w:szCs w:val="22"/>
              </w:rPr>
              <w:t>Финансова помощ</w:t>
            </w:r>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27789" w:rsidRPr="004D6661" w:rsidRDefault="00927789" w:rsidP="004F52FC">
            <w:pPr>
              <w:spacing w:after="0" w:line="246" w:lineRule="exact"/>
              <w:rPr>
                <w:rFonts w:ascii="Times New Roman" w:hAnsi="Times New Roman" w:cs="Times New Roman"/>
              </w:rPr>
            </w:pPr>
            <w:r w:rsidRPr="004D6661">
              <w:rPr>
                <w:rStyle w:val="2"/>
                <w:rFonts w:eastAsia="Arial"/>
                <w:sz w:val="22"/>
                <w:szCs w:val="22"/>
                <w:u w:val="none"/>
              </w:rPr>
              <w:t>Безвъзмездна финансова помощ по смисъла на Закона за управление на средствата от Европейските структурни и инвестиционни фондове.</w:t>
            </w:r>
          </w:p>
        </w:tc>
      </w:tr>
      <w:tr w:rsidR="00927789" w:rsidRPr="004D6661" w:rsidTr="004F52FC">
        <w:trPr>
          <w:trHeight w:hRule="exact" w:val="770"/>
        </w:trPr>
        <w:tc>
          <w:tcPr>
            <w:tcW w:w="2242" w:type="dxa"/>
            <w:tcBorders>
              <w:top w:val="single" w:sz="4" w:space="0" w:color="auto"/>
              <w:left w:val="single" w:sz="4" w:space="0" w:color="auto"/>
            </w:tcBorders>
            <w:shd w:val="clear" w:color="auto" w:fill="FFFFFF"/>
          </w:tcPr>
          <w:p w:rsidR="004F52FC" w:rsidRDefault="00927789" w:rsidP="004F52FC">
            <w:pPr>
              <w:spacing w:after="0" w:line="240" w:lineRule="auto"/>
            </w:pPr>
            <w:r w:rsidRPr="004D6661">
              <w:rPr>
                <w:rStyle w:val="a3"/>
                <w:rFonts w:eastAsiaTheme="minorHAnsi"/>
                <w:sz w:val="22"/>
                <w:szCs w:val="22"/>
              </w:rPr>
              <w:t>Функционална</w:t>
            </w:r>
          </w:p>
          <w:p w:rsidR="00927789" w:rsidRPr="004D6661" w:rsidRDefault="00927789" w:rsidP="004F52FC">
            <w:pPr>
              <w:spacing w:after="0" w:line="240" w:lineRule="auto"/>
              <w:rPr>
                <w:rFonts w:ascii="Times New Roman" w:hAnsi="Times New Roman" w:cs="Times New Roman"/>
              </w:rPr>
            </w:pPr>
            <w:r w:rsidRPr="004D6661">
              <w:rPr>
                <w:rStyle w:val="a3"/>
                <w:rFonts w:eastAsiaTheme="minorHAnsi"/>
                <w:sz w:val="22"/>
                <w:szCs w:val="22"/>
              </w:rPr>
              <w:t>несамостоятелност</w:t>
            </w:r>
          </w:p>
        </w:tc>
        <w:tc>
          <w:tcPr>
            <w:tcW w:w="6986" w:type="dxa"/>
            <w:gridSpan w:val="2"/>
            <w:tcBorders>
              <w:top w:val="single" w:sz="4" w:space="0" w:color="auto"/>
              <w:left w:val="single" w:sz="4" w:space="0" w:color="auto"/>
              <w:right w:val="single" w:sz="4" w:space="0" w:color="auto"/>
            </w:tcBorders>
            <w:shd w:val="clear" w:color="auto" w:fill="FFFFFF"/>
            <w:vAlign w:val="bottom"/>
          </w:tcPr>
          <w:p w:rsidR="00927789" w:rsidRPr="004D6661" w:rsidRDefault="00927789" w:rsidP="004F52FC">
            <w:pPr>
              <w:spacing w:after="0" w:line="255" w:lineRule="exact"/>
              <w:rPr>
                <w:rFonts w:ascii="Times New Roman" w:hAnsi="Times New Roman" w:cs="Times New Roman"/>
              </w:rPr>
            </w:pPr>
            <w:r w:rsidRPr="004D6661">
              <w:rPr>
                <w:rStyle w:val="2"/>
                <w:rFonts w:eastAsia="Arial"/>
                <w:sz w:val="22"/>
                <w:szCs w:val="22"/>
                <w:u w:val="none"/>
              </w:rPr>
              <w:t>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w:t>
            </w:r>
          </w:p>
        </w:tc>
      </w:tr>
      <w:tr w:rsidR="00927789" w:rsidRPr="004D6661" w:rsidTr="004F52FC">
        <w:trPr>
          <w:trHeight w:hRule="exact" w:val="779"/>
        </w:trPr>
        <w:tc>
          <w:tcPr>
            <w:tcW w:w="2242" w:type="dxa"/>
            <w:tcBorders>
              <w:top w:val="single" w:sz="4" w:space="0" w:color="auto"/>
              <w:left w:val="single" w:sz="4" w:space="0" w:color="auto"/>
              <w:bottom w:val="single" w:sz="4" w:space="0" w:color="auto"/>
            </w:tcBorders>
            <w:shd w:val="clear" w:color="auto" w:fill="FFFFFF"/>
          </w:tcPr>
          <w:p w:rsidR="00927789" w:rsidRPr="004D6661" w:rsidRDefault="00927789" w:rsidP="004F52FC">
            <w:pPr>
              <w:spacing w:after="0" w:line="240" w:lineRule="auto"/>
              <w:rPr>
                <w:rFonts w:ascii="Times New Roman" w:hAnsi="Times New Roman" w:cs="Times New Roman"/>
              </w:rPr>
            </w:pPr>
            <w:bookmarkStart w:id="1" w:name="bookmark2"/>
            <w:r w:rsidRPr="004D6661">
              <w:rPr>
                <w:rStyle w:val="a3"/>
                <w:rFonts w:eastAsiaTheme="minorHAnsi"/>
                <w:sz w:val="22"/>
                <w:szCs w:val="22"/>
              </w:rPr>
              <w:t>Частичен отказ за финансиране</w:t>
            </w:r>
            <w:bookmarkEnd w:id="1"/>
          </w:p>
        </w:tc>
        <w:tc>
          <w:tcPr>
            <w:tcW w:w="6986" w:type="dxa"/>
            <w:gridSpan w:val="2"/>
            <w:tcBorders>
              <w:top w:val="single" w:sz="4" w:space="0" w:color="auto"/>
              <w:left w:val="single" w:sz="4" w:space="0" w:color="auto"/>
              <w:bottom w:val="single" w:sz="4" w:space="0" w:color="auto"/>
              <w:right w:val="single" w:sz="4" w:space="0" w:color="auto"/>
            </w:tcBorders>
            <w:shd w:val="clear" w:color="auto" w:fill="FFFFFF"/>
          </w:tcPr>
          <w:p w:rsidR="00927789" w:rsidRPr="004D6661" w:rsidRDefault="00927789" w:rsidP="004F52FC">
            <w:pPr>
              <w:spacing w:after="0"/>
              <w:rPr>
                <w:rFonts w:ascii="Times New Roman" w:hAnsi="Times New Roman" w:cs="Times New Roman"/>
              </w:rPr>
            </w:pPr>
            <w:r w:rsidRPr="004D6661">
              <w:rPr>
                <w:rStyle w:val="2"/>
                <w:rFonts w:eastAsia="Arial"/>
                <w:sz w:val="22"/>
                <w:szCs w:val="22"/>
                <w:u w:val="none"/>
              </w:rPr>
              <w:t>Отказът да се финансират част от заявените разходи на кандидата, които са включени в проект, одобрен за подпомагане по ПРСР 2014 - 2020 г.</w:t>
            </w:r>
          </w:p>
        </w:tc>
      </w:tr>
    </w:tbl>
    <w:p w:rsidR="00927789" w:rsidRPr="004D6661" w:rsidRDefault="00927789" w:rsidP="00927789">
      <w:pPr>
        <w:rPr>
          <w:rFonts w:ascii="Times New Roman" w:hAnsi="Times New Roman" w:cs="Times New Roman"/>
        </w:rPr>
      </w:pPr>
    </w:p>
    <w:p w:rsidR="009A0443" w:rsidRPr="004D6661" w:rsidRDefault="0015214C">
      <w:pPr>
        <w:rPr>
          <w:rFonts w:ascii="Times New Roman" w:hAnsi="Times New Roman" w:cs="Times New Roman"/>
        </w:rPr>
      </w:pPr>
    </w:p>
    <w:sectPr w:rsidR="009A0443" w:rsidRPr="004D666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14C" w:rsidRDefault="0015214C" w:rsidP="008C186D">
      <w:pPr>
        <w:spacing w:after="0" w:line="240" w:lineRule="auto"/>
      </w:pPr>
      <w:r>
        <w:separator/>
      </w:r>
    </w:p>
  </w:endnote>
  <w:endnote w:type="continuationSeparator" w:id="0">
    <w:p w:rsidR="0015214C" w:rsidRDefault="0015214C" w:rsidP="008C1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2748" w:rsidRPr="00162748" w:rsidRDefault="00162748" w:rsidP="00162748">
    <w:pPr>
      <w:pBdr>
        <w:top w:val="single" w:sz="4" w:space="0" w:color="auto"/>
      </w:pBdr>
      <w:tabs>
        <w:tab w:val="center" w:pos="4536"/>
        <w:tab w:val="right" w:pos="9072"/>
      </w:tabs>
      <w:spacing w:after="0" w:line="240" w:lineRule="auto"/>
      <w:ind w:left="708"/>
      <w:jc w:val="center"/>
      <w:rPr>
        <w:rFonts w:ascii="Times New Roman" w:eastAsia="Calibri" w:hAnsi="Times New Roman" w:cs="Times New Roman"/>
        <w:b/>
        <w:i/>
        <w:color w:val="2F5496"/>
        <w:sz w:val="20"/>
      </w:rPr>
    </w:pPr>
    <w:r w:rsidRPr="00162748">
      <w:rPr>
        <w:rFonts w:ascii="Times New Roman" w:eastAsia="Calibri" w:hAnsi="Times New Roman" w:cs="Times New Roman"/>
        <w:b/>
        <w:i/>
        <w:color w:val="2F5496"/>
        <w:sz w:val="20"/>
      </w:rPr>
      <w:t>Споразумение за изпълнение на СВОМР №РД50-40/24.04.2018 г.</w:t>
    </w:r>
  </w:p>
  <w:p w:rsidR="00162748" w:rsidRPr="00162748" w:rsidRDefault="00162748" w:rsidP="00162748">
    <w:pPr>
      <w:pBdr>
        <w:top w:val="single" w:sz="4" w:space="0" w:color="auto"/>
      </w:pBdr>
      <w:tabs>
        <w:tab w:val="center" w:pos="4536"/>
        <w:tab w:val="right" w:pos="9072"/>
      </w:tabs>
      <w:spacing w:after="0" w:line="240" w:lineRule="auto"/>
      <w:ind w:left="708"/>
      <w:jc w:val="center"/>
      <w:rPr>
        <w:rFonts w:ascii="Times New Roman" w:eastAsia="Calibri" w:hAnsi="Times New Roman" w:cs="Times New Roman"/>
        <w:i/>
        <w:sz w:val="20"/>
      </w:rPr>
    </w:pPr>
    <w:r w:rsidRPr="00162748">
      <w:rPr>
        <w:rFonts w:ascii="Times New Roman" w:eastAsia="Calibri" w:hAnsi="Times New Roman" w:cs="Times New Roman"/>
        <w:i/>
        <w:sz w:val="20"/>
      </w:rPr>
      <w:t>Сдружение „Местна инициативна група –Лом“,</w:t>
    </w:r>
    <w:proofErr w:type="spellStart"/>
    <w:r w:rsidRPr="00162748">
      <w:rPr>
        <w:rFonts w:ascii="Times New Roman" w:eastAsia="Calibri" w:hAnsi="Times New Roman" w:cs="Times New Roman"/>
        <w:i/>
        <w:sz w:val="20"/>
      </w:rPr>
      <w:t>гр.Лом</w:t>
    </w:r>
    <w:proofErr w:type="spellEnd"/>
    <w:r w:rsidRPr="00162748">
      <w:rPr>
        <w:rFonts w:ascii="Times New Roman" w:eastAsia="Calibri" w:hAnsi="Times New Roman" w:cs="Times New Roman"/>
        <w:i/>
        <w:sz w:val="20"/>
      </w:rPr>
      <w:t xml:space="preserve">,  </w:t>
    </w:r>
    <w:proofErr w:type="spellStart"/>
    <w:r w:rsidRPr="00162748">
      <w:rPr>
        <w:rFonts w:ascii="Times New Roman" w:eastAsia="Calibri" w:hAnsi="Times New Roman" w:cs="Times New Roman"/>
        <w:i/>
        <w:sz w:val="20"/>
      </w:rPr>
      <w:t>ул</w:t>
    </w:r>
    <w:proofErr w:type="spellEnd"/>
    <w:r w:rsidRPr="00162748">
      <w:rPr>
        <w:rFonts w:ascii="Times New Roman" w:eastAsia="Calibri" w:hAnsi="Times New Roman" w:cs="Times New Roman"/>
        <w:i/>
        <w:sz w:val="20"/>
      </w:rPr>
      <w:t>.“Георги Манафски“ № 19, ет.2     тел:0971/2 90 02.е-</w:t>
    </w:r>
    <w:r w:rsidRPr="00162748">
      <w:rPr>
        <w:rFonts w:ascii="Times New Roman" w:eastAsia="Calibri" w:hAnsi="Times New Roman" w:cs="Times New Roman"/>
        <w:i/>
        <w:sz w:val="20"/>
        <w:lang w:val="en-US"/>
      </w:rPr>
      <w:t xml:space="preserve">mail: </w:t>
    </w:r>
    <w:hyperlink r:id="rId1" w:history="1">
      <w:r w:rsidRPr="00162748">
        <w:rPr>
          <w:rFonts w:ascii="Times New Roman" w:eastAsia="Calibri" w:hAnsi="Times New Roman" w:cs="Times New Roman"/>
          <w:i/>
          <w:color w:val="0563C1"/>
          <w:sz w:val="20"/>
          <w:u w:val="single"/>
          <w:lang w:val="en-US"/>
        </w:rPr>
        <w:t>office@miglom.org</w:t>
      </w:r>
    </w:hyperlink>
    <w:r w:rsidRPr="00162748">
      <w:rPr>
        <w:rFonts w:ascii="Times New Roman" w:eastAsia="Calibri" w:hAnsi="Times New Roman" w:cs="Times New Roman"/>
        <w:i/>
        <w:sz w:val="20"/>
        <w:lang w:val="en-US"/>
      </w:rPr>
      <w:t xml:space="preserve">  </w:t>
    </w:r>
    <w:r w:rsidRPr="00162748">
      <w:rPr>
        <w:rFonts w:ascii="Times New Roman" w:eastAsia="Calibri" w:hAnsi="Times New Roman" w:cs="Times New Roman"/>
        <w:i/>
        <w:sz w:val="20"/>
      </w:rPr>
      <w:t>,</w:t>
    </w:r>
    <w:r w:rsidRPr="00162748">
      <w:rPr>
        <w:rFonts w:ascii="Times New Roman" w:eastAsia="Times New Roman" w:hAnsi="Times New Roman" w:cs="Times New Roman"/>
        <w:sz w:val="24"/>
        <w:szCs w:val="24"/>
        <w:lang w:eastAsia="bg-BG"/>
      </w:rPr>
      <w:t xml:space="preserve"> </w:t>
    </w:r>
    <w:proofErr w:type="spellStart"/>
    <w:r w:rsidRPr="00162748">
      <w:rPr>
        <w:rFonts w:ascii="Times New Roman" w:eastAsia="Calibri" w:hAnsi="Times New Roman" w:cs="Times New Roman"/>
        <w:i/>
        <w:sz w:val="20"/>
      </w:rPr>
      <w:t>email</w:t>
    </w:r>
    <w:proofErr w:type="spellEnd"/>
    <w:r w:rsidRPr="00162748">
      <w:rPr>
        <w:rFonts w:ascii="Times New Roman" w:eastAsia="Calibri" w:hAnsi="Times New Roman" w:cs="Times New Roman"/>
        <w:i/>
        <w:sz w:val="20"/>
      </w:rPr>
      <w:t xml:space="preserve">: </w:t>
    </w:r>
    <w:hyperlink r:id="rId2" w:history="1">
      <w:r w:rsidRPr="00162748">
        <w:rPr>
          <w:rFonts w:ascii="Times New Roman" w:eastAsia="Calibri" w:hAnsi="Times New Roman" w:cs="Times New Roman"/>
          <w:i/>
          <w:color w:val="0563C1"/>
          <w:sz w:val="20"/>
          <w:u w:val="single"/>
        </w:rPr>
        <w:t>miglom@abv.bg</w:t>
      </w:r>
    </w:hyperlink>
  </w:p>
  <w:p w:rsidR="00162748" w:rsidRPr="00162748" w:rsidRDefault="00162748" w:rsidP="00162748">
    <w:pPr>
      <w:pBdr>
        <w:top w:val="single" w:sz="4" w:space="0" w:color="auto"/>
      </w:pBdr>
      <w:tabs>
        <w:tab w:val="center" w:pos="4536"/>
        <w:tab w:val="right" w:pos="9072"/>
      </w:tabs>
      <w:spacing w:after="0" w:line="240" w:lineRule="auto"/>
      <w:ind w:left="708"/>
      <w:jc w:val="center"/>
      <w:rPr>
        <w:rFonts w:ascii="Times New Roman" w:eastAsia="Calibri" w:hAnsi="Times New Roman" w:cs="Times New Roman"/>
        <w:i/>
        <w:sz w:val="20"/>
      </w:rPr>
    </w:pPr>
    <w:r w:rsidRPr="00162748">
      <w:rPr>
        <w:rFonts w:ascii="Times New Roman" w:eastAsia="Calibri" w:hAnsi="Times New Roman" w:cs="Times New Roman"/>
        <w:i/>
        <w:sz w:val="20"/>
        <w:lang w:val="en-US"/>
      </w:rPr>
      <w:t>www.</w:t>
    </w:r>
    <w:r w:rsidRPr="00162748">
      <w:rPr>
        <w:rFonts w:ascii="Times New Roman" w:eastAsia="Times New Roman" w:hAnsi="Times New Roman" w:cs="Times New Roman"/>
        <w:sz w:val="24"/>
        <w:szCs w:val="24"/>
        <w:lang w:eastAsia="bg-BG"/>
      </w:rPr>
      <w:t xml:space="preserve"> </w:t>
    </w:r>
    <w:hyperlink r:id="rId3" w:history="1">
      <w:r w:rsidRPr="00162748">
        <w:rPr>
          <w:rFonts w:ascii="Times New Roman" w:eastAsia="Calibri" w:hAnsi="Times New Roman" w:cs="Times New Roman"/>
          <w:i/>
          <w:color w:val="0563C1"/>
          <w:sz w:val="20"/>
          <w:u w:val="single"/>
          <w:lang w:val="en-US"/>
        </w:rPr>
        <w:t>http://miglom.org/</w:t>
      </w:r>
    </w:hyperlink>
  </w:p>
  <w:p w:rsidR="008C186D" w:rsidRDefault="008C186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14C" w:rsidRDefault="0015214C" w:rsidP="008C186D">
      <w:pPr>
        <w:spacing w:after="0" w:line="240" w:lineRule="auto"/>
      </w:pPr>
      <w:r>
        <w:separator/>
      </w:r>
    </w:p>
  </w:footnote>
  <w:footnote w:type="continuationSeparator" w:id="0">
    <w:p w:rsidR="0015214C" w:rsidRDefault="0015214C" w:rsidP="008C18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page" w:horzAnchor="margin" w:tblpXSpec="center" w:tblpY="16"/>
      <w:tblW w:w="5287" w:type="pct"/>
      <w:tblLayout w:type="fixed"/>
      <w:tblLook w:val="01E0" w:firstRow="1" w:lastRow="1" w:firstColumn="1" w:lastColumn="1" w:noHBand="0" w:noVBand="0"/>
    </w:tblPr>
    <w:tblGrid>
      <w:gridCol w:w="1854"/>
      <w:gridCol w:w="2041"/>
      <w:gridCol w:w="2706"/>
      <w:gridCol w:w="1681"/>
      <w:gridCol w:w="1615"/>
    </w:tblGrid>
    <w:tr w:rsidR="008C186D" w:rsidRPr="008C186D" w:rsidTr="006F7957">
      <w:trPr>
        <w:trHeight w:val="1890"/>
      </w:trPr>
      <w:tc>
        <w:tcPr>
          <w:tcW w:w="937" w:type="pct"/>
          <w:vAlign w:val="center"/>
          <w:hideMark/>
        </w:tcPr>
        <w:p w:rsidR="008C186D" w:rsidRPr="008C186D" w:rsidRDefault="008C186D" w:rsidP="008C186D">
          <w:pPr>
            <w:widowControl w:val="0"/>
            <w:autoSpaceDE w:val="0"/>
            <w:autoSpaceDN w:val="0"/>
            <w:adjustRightInd w:val="0"/>
            <w:jc w:val="center"/>
            <w:rPr>
              <w:rFonts w:ascii="Calibri" w:eastAsia="Calibri" w:hAnsi="Calibri" w:cs="Times New Roman"/>
              <w:noProof/>
              <w:color w:val="000000"/>
              <w:sz w:val="18"/>
              <w:szCs w:val="18"/>
              <w:lang w:val="en-US"/>
            </w:rPr>
          </w:pPr>
          <w:bookmarkStart w:id="2" w:name="_Hlk518666856"/>
        </w:p>
        <w:p w:rsidR="008C186D" w:rsidRPr="008C186D" w:rsidRDefault="008C186D" w:rsidP="008C186D">
          <w:pPr>
            <w:widowControl w:val="0"/>
            <w:autoSpaceDE w:val="0"/>
            <w:autoSpaceDN w:val="0"/>
            <w:adjustRightInd w:val="0"/>
            <w:jc w:val="center"/>
            <w:rPr>
              <w:rFonts w:ascii="Calibri" w:eastAsia="Calibri" w:hAnsi="Calibri" w:cs="Times New Roman"/>
              <w:noProof/>
              <w:color w:val="000000"/>
              <w:sz w:val="18"/>
              <w:szCs w:val="18"/>
              <w:lang w:val="en-US"/>
            </w:rPr>
          </w:pPr>
          <w:r w:rsidRPr="008C186D">
            <w:rPr>
              <w:rFonts w:ascii="Calibri" w:eastAsia="Calibri" w:hAnsi="Calibri" w:cs="Times New Roman"/>
              <w:noProof/>
              <w:color w:val="000000"/>
              <w:sz w:val="18"/>
              <w:szCs w:val="18"/>
              <w:lang w:val="en-US"/>
            </w:rPr>
            <w:drawing>
              <wp:inline distT="0" distB="0" distL="0" distR="0">
                <wp:extent cx="847725" cy="6762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76275"/>
                        </a:xfrm>
                        <a:prstGeom prst="rect">
                          <a:avLst/>
                        </a:prstGeom>
                        <a:noFill/>
                        <a:ln>
                          <a:noFill/>
                        </a:ln>
                      </pic:spPr>
                    </pic:pic>
                  </a:graphicData>
                </a:graphic>
              </wp:inline>
            </w:drawing>
          </w:r>
          <w:r w:rsidRPr="008C186D">
            <w:rPr>
              <w:rFonts w:ascii="Calibri" w:eastAsia="Calibri" w:hAnsi="Calibri" w:cs="Times New Roman"/>
              <w:noProof/>
              <w:color w:val="000000"/>
              <w:sz w:val="18"/>
              <w:szCs w:val="18"/>
            </w:rPr>
            <w:t xml:space="preserve"> Европейски съюз</w:t>
          </w:r>
        </w:p>
      </w:tc>
      <w:tc>
        <w:tcPr>
          <w:tcW w:w="1031" w:type="pct"/>
          <w:hideMark/>
        </w:tcPr>
        <w:p w:rsidR="008C186D" w:rsidRPr="008C186D" w:rsidRDefault="008C186D" w:rsidP="008C186D">
          <w:pPr>
            <w:widowControl w:val="0"/>
            <w:autoSpaceDE w:val="0"/>
            <w:autoSpaceDN w:val="0"/>
            <w:adjustRightInd w:val="0"/>
            <w:ind w:left="-108"/>
            <w:jc w:val="center"/>
            <w:rPr>
              <w:rFonts w:ascii="Calibri" w:eastAsia="Calibri" w:hAnsi="Calibri" w:cs="Times New Roman"/>
              <w:i/>
              <w:iCs/>
              <w:noProof/>
              <w:color w:val="000000"/>
              <w:sz w:val="18"/>
              <w:szCs w:val="18"/>
            </w:rPr>
          </w:pPr>
        </w:p>
        <w:p w:rsidR="008C186D" w:rsidRPr="008C186D" w:rsidRDefault="008C186D" w:rsidP="008C186D">
          <w:pPr>
            <w:widowControl w:val="0"/>
            <w:autoSpaceDE w:val="0"/>
            <w:autoSpaceDN w:val="0"/>
            <w:adjustRightInd w:val="0"/>
            <w:ind w:left="-108"/>
            <w:jc w:val="center"/>
            <w:rPr>
              <w:rFonts w:ascii="Calibri" w:eastAsia="Calibri" w:hAnsi="Calibri" w:cs="Times New Roman"/>
              <w:i/>
              <w:iCs/>
              <w:noProof/>
              <w:color w:val="000000"/>
              <w:sz w:val="18"/>
              <w:szCs w:val="18"/>
            </w:rPr>
          </w:pPr>
          <w:r w:rsidRPr="008C186D">
            <w:rPr>
              <w:rFonts w:ascii="Calibri" w:eastAsia="Calibri" w:hAnsi="Calibri" w:cs="Times New Roman"/>
              <w:i/>
              <w:noProof/>
              <w:color w:val="000000"/>
              <w:sz w:val="18"/>
              <w:szCs w:val="18"/>
              <w:lang w:val="en-US"/>
            </w:rPr>
            <w:drawing>
              <wp:inline distT="0" distB="0" distL="0" distR="0">
                <wp:extent cx="895350" cy="647700"/>
                <wp:effectExtent l="19050" t="19050" r="19050"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647700"/>
                        </a:xfrm>
                        <a:prstGeom prst="rect">
                          <a:avLst/>
                        </a:prstGeom>
                        <a:noFill/>
                        <a:ln w="9525" cmpd="sng">
                          <a:solidFill>
                            <a:srgbClr val="000000"/>
                          </a:solidFill>
                          <a:miter lim="800000"/>
                          <a:headEnd/>
                          <a:tailEnd/>
                        </a:ln>
                        <a:effectLst/>
                      </pic:spPr>
                    </pic:pic>
                  </a:graphicData>
                </a:graphic>
              </wp:inline>
            </w:drawing>
          </w:r>
        </w:p>
      </w:tc>
      <w:tc>
        <w:tcPr>
          <w:tcW w:w="1367" w:type="pct"/>
          <w:vAlign w:val="center"/>
          <w:hideMark/>
        </w:tcPr>
        <w:p w:rsidR="008C186D" w:rsidRPr="008C186D" w:rsidRDefault="008C186D" w:rsidP="008C186D">
          <w:pPr>
            <w:widowControl w:val="0"/>
            <w:autoSpaceDE w:val="0"/>
            <w:autoSpaceDN w:val="0"/>
            <w:adjustRightInd w:val="0"/>
            <w:ind w:left="-221"/>
            <w:rPr>
              <w:rFonts w:ascii="Calibri" w:eastAsia="Calibri" w:hAnsi="Calibri" w:cs="Times New Roman"/>
              <w:color w:val="000000"/>
              <w:sz w:val="16"/>
              <w:szCs w:val="16"/>
            </w:rPr>
          </w:pPr>
          <w:r w:rsidRPr="008C186D">
            <w:rPr>
              <w:rFonts w:ascii="Calibri" w:eastAsia="Calibri" w:hAnsi="Calibri" w:cs="Times New Roman"/>
              <w:noProof/>
              <w:color w:val="000000"/>
              <w:sz w:val="16"/>
              <w:szCs w:val="16"/>
              <w:lang w:val="en-US"/>
            </w:rPr>
            <w:drawing>
              <wp:inline distT="0" distB="0" distL="0" distR="0">
                <wp:extent cx="186690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819150"/>
                        </a:xfrm>
                        <a:prstGeom prst="rect">
                          <a:avLst/>
                        </a:prstGeom>
                        <a:noFill/>
                        <a:ln>
                          <a:noFill/>
                        </a:ln>
                      </pic:spPr>
                    </pic:pic>
                  </a:graphicData>
                </a:graphic>
              </wp:inline>
            </w:drawing>
          </w:r>
        </w:p>
      </w:tc>
      <w:tc>
        <w:tcPr>
          <w:tcW w:w="849" w:type="pct"/>
          <w:hideMark/>
        </w:tcPr>
        <w:p w:rsidR="008C186D" w:rsidRPr="008C186D" w:rsidRDefault="008C186D" w:rsidP="008C186D">
          <w:pPr>
            <w:widowControl w:val="0"/>
            <w:autoSpaceDE w:val="0"/>
            <w:autoSpaceDN w:val="0"/>
            <w:adjustRightInd w:val="0"/>
            <w:ind w:left="-108"/>
            <w:jc w:val="center"/>
            <w:rPr>
              <w:rFonts w:ascii="Calibri" w:eastAsia="Calibri" w:hAnsi="Calibri" w:cs="Times New Roman"/>
              <w:noProof/>
              <w:color w:val="000000"/>
              <w:sz w:val="18"/>
              <w:szCs w:val="18"/>
              <w:lang w:val="en-US"/>
            </w:rPr>
          </w:pPr>
        </w:p>
        <w:p w:rsidR="008C186D" w:rsidRPr="008C186D" w:rsidRDefault="008C186D" w:rsidP="008C186D">
          <w:pPr>
            <w:widowControl w:val="0"/>
            <w:autoSpaceDE w:val="0"/>
            <w:autoSpaceDN w:val="0"/>
            <w:adjustRightInd w:val="0"/>
            <w:ind w:left="-108"/>
            <w:jc w:val="center"/>
            <w:rPr>
              <w:rFonts w:ascii="Calibri" w:eastAsia="Calibri" w:hAnsi="Calibri" w:cs="Times New Roman"/>
              <w:noProof/>
              <w:color w:val="000000"/>
              <w:sz w:val="18"/>
              <w:szCs w:val="18"/>
            </w:rPr>
          </w:pPr>
          <w:r w:rsidRPr="008C186D">
            <w:rPr>
              <w:rFonts w:ascii="Calibri" w:eastAsia="Calibri" w:hAnsi="Calibri" w:cs="Times New Roman"/>
              <w:noProof/>
              <w:color w:val="000000"/>
              <w:sz w:val="18"/>
              <w:szCs w:val="18"/>
            </w:rPr>
            <w:t xml:space="preserve">     </w:t>
          </w:r>
          <w:r w:rsidRPr="008C186D">
            <w:rPr>
              <w:rFonts w:ascii="Calibri" w:eastAsia="Calibri" w:hAnsi="Calibri" w:cs="Times New Roman"/>
              <w:noProof/>
              <w:color w:val="000000"/>
              <w:sz w:val="18"/>
              <w:szCs w:val="18"/>
              <w:lang w:val="en-US"/>
            </w:rPr>
            <w:drawing>
              <wp:inline distT="0" distB="0" distL="0" distR="0">
                <wp:extent cx="647700" cy="676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7700" cy="676275"/>
                        </a:xfrm>
                        <a:prstGeom prst="rect">
                          <a:avLst/>
                        </a:prstGeom>
                        <a:noFill/>
                        <a:ln>
                          <a:noFill/>
                        </a:ln>
                      </pic:spPr>
                    </pic:pic>
                  </a:graphicData>
                </a:graphic>
              </wp:inline>
            </w:drawing>
          </w:r>
        </w:p>
      </w:tc>
      <w:tc>
        <w:tcPr>
          <w:tcW w:w="816" w:type="pct"/>
        </w:tcPr>
        <w:p w:rsidR="008C186D" w:rsidRPr="008C186D" w:rsidRDefault="008C186D" w:rsidP="008C186D">
          <w:pPr>
            <w:widowControl w:val="0"/>
            <w:autoSpaceDE w:val="0"/>
            <w:autoSpaceDN w:val="0"/>
            <w:adjustRightInd w:val="0"/>
            <w:ind w:left="-108"/>
            <w:jc w:val="center"/>
            <w:rPr>
              <w:rFonts w:ascii="Calibri" w:eastAsia="Calibri" w:hAnsi="Calibri" w:cs="Times New Roman"/>
              <w:noProof/>
              <w:sz w:val="18"/>
              <w:szCs w:val="18"/>
              <w:lang w:val="en-US"/>
            </w:rPr>
          </w:pPr>
        </w:p>
        <w:p w:rsidR="008C186D" w:rsidRPr="008C186D" w:rsidRDefault="008C186D" w:rsidP="008C186D">
          <w:pPr>
            <w:widowControl w:val="0"/>
            <w:autoSpaceDE w:val="0"/>
            <w:autoSpaceDN w:val="0"/>
            <w:adjustRightInd w:val="0"/>
            <w:ind w:left="-108"/>
            <w:jc w:val="center"/>
            <w:rPr>
              <w:rFonts w:ascii="Calibri" w:eastAsia="Calibri" w:hAnsi="Calibri" w:cs="Times New Roman"/>
              <w:noProof/>
              <w:color w:val="000000"/>
              <w:sz w:val="18"/>
              <w:szCs w:val="18"/>
            </w:rPr>
          </w:pPr>
          <w:r w:rsidRPr="008C186D">
            <w:rPr>
              <w:rFonts w:ascii="Calibri" w:eastAsia="Calibri" w:hAnsi="Calibri" w:cs="Times New Roman"/>
              <w:noProof/>
              <w:color w:val="000000"/>
              <w:sz w:val="18"/>
              <w:szCs w:val="18"/>
              <w:lang w:val="en-US"/>
            </w:rPr>
            <w:drawing>
              <wp:inline distT="0" distB="0" distL="0" distR="0">
                <wp:extent cx="790575" cy="80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0575" cy="800100"/>
                        </a:xfrm>
                        <a:prstGeom prst="rect">
                          <a:avLst/>
                        </a:prstGeom>
                        <a:noFill/>
                        <a:ln>
                          <a:noFill/>
                        </a:ln>
                      </pic:spPr>
                    </pic:pic>
                  </a:graphicData>
                </a:graphic>
              </wp:inline>
            </w:drawing>
          </w:r>
        </w:p>
      </w:tc>
    </w:tr>
    <w:tr w:rsidR="008C186D" w:rsidRPr="008C186D" w:rsidTr="006F7957">
      <w:trPr>
        <w:trHeight w:val="380"/>
      </w:trPr>
      <w:tc>
        <w:tcPr>
          <w:tcW w:w="5000" w:type="pct"/>
          <w:gridSpan w:val="5"/>
          <w:vAlign w:val="center"/>
        </w:tcPr>
        <w:p w:rsidR="008C186D" w:rsidRPr="008C186D" w:rsidRDefault="008C186D" w:rsidP="008C186D">
          <w:pPr>
            <w:spacing w:after="0" w:line="240" w:lineRule="auto"/>
            <w:jc w:val="center"/>
            <w:rPr>
              <w:rFonts w:ascii="Calibri" w:eastAsia="Calibri" w:hAnsi="Calibri" w:cs="Times New Roman"/>
              <w:b/>
              <w:iCs/>
              <w:color w:val="000000"/>
              <w:spacing w:val="3"/>
              <w:sz w:val="18"/>
              <w:szCs w:val="18"/>
              <w:lang w:val="ru-RU"/>
            </w:rPr>
          </w:pPr>
          <w:r w:rsidRPr="008C186D">
            <w:rPr>
              <w:rFonts w:ascii="Calibri" w:eastAsia="Calibri" w:hAnsi="Calibri" w:cs="Times New Roman"/>
              <w:b/>
              <w:iCs/>
              <w:color w:val="000000"/>
              <w:spacing w:val="3"/>
              <w:sz w:val="18"/>
              <w:szCs w:val="18"/>
              <w:lang w:val="ru-RU"/>
            </w:rPr>
            <w:t>ПРОГРАМА ЗА РАЗВИТИЕ НА СЕЛСКИТЕ РАЙОНИ   2014 – 2020 г.</w:t>
          </w:r>
        </w:p>
        <w:p w:rsidR="008C186D" w:rsidRPr="008C186D" w:rsidRDefault="008C186D" w:rsidP="008C186D">
          <w:pPr>
            <w:spacing w:after="0" w:line="240" w:lineRule="auto"/>
            <w:jc w:val="center"/>
            <w:rPr>
              <w:rFonts w:ascii="Calibri" w:eastAsia="Calibri" w:hAnsi="Calibri" w:cs="Times New Roman"/>
              <w:b/>
              <w:iCs/>
              <w:color w:val="000000"/>
              <w:spacing w:val="3"/>
              <w:sz w:val="18"/>
              <w:szCs w:val="18"/>
              <w:lang w:val="ru-RU"/>
            </w:rPr>
          </w:pPr>
          <w:r w:rsidRPr="008C186D">
            <w:rPr>
              <w:rFonts w:ascii="Calibri" w:eastAsia="Calibri" w:hAnsi="Calibri" w:cs="Times New Roman"/>
              <w:b/>
              <w:iCs/>
              <w:color w:val="000000"/>
              <w:spacing w:val="3"/>
              <w:sz w:val="18"/>
              <w:szCs w:val="18"/>
              <w:lang w:val="ru-RU"/>
            </w:rPr>
            <w:t>ЕВРОПЕЙСКИ ЗЕМЕДЕЛСКИ ФОНД ЗА РАЗВИТИЕ НА СЕЛСКИТЕ РАЙОНИ</w:t>
          </w:r>
        </w:p>
        <w:p w:rsidR="008C186D" w:rsidRPr="008C186D" w:rsidRDefault="008C186D" w:rsidP="008C186D">
          <w:pPr>
            <w:spacing w:after="0" w:line="240" w:lineRule="auto"/>
            <w:jc w:val="center"/>
            <w:rPr>
              <w:rFonts w:ascii="Calibri" w:eastAsia="Calibri" w:hAnsi="Calibri" w:cs="Times New Roman"/>
              <w:b/>
              <w:iCs/>
              <w:color w:val="000000"/>
              <w:spacing w:val="3"/>
              <w:sz w:val="18"/>
              <w:szCs w:val="18"/>
              <w:lang w:val="ru-RU"/>
            </w:rPr>
          </w:pPr>
          <w:r w:rsidRPr="008C186D">
            <w:rPr>
              <w:rFonts w:ascii="Calibri" w:eastAsia="Calibri" w:hAnsi="Calibri" w:cs="Times New Roman"/>
              <w:b/>
              <w:iCs/>
              <w:color w:val="000000"/>
              <w:spacing w:val="3"/>
              <w:sz w:val="18"/>
              <w:szCs w:val="18"/>
              <w:lang w:val="ru-RU"/>
            </w:rPr>
            <w:t>ЕВРОПА ИНВЕСТИРА В СЕЛСКИТЕ РАЙОНИ</w:t>
          </w:r>
        </w:p>
        <w:p w:rsidR="008C186D" w:rsidRPr="008C186D" w:rsidRDefault="008C186D" w:rsidP="008C186D">
          <w:pPr>
            <w:spacing w:after="0" w:line="240" w:lineRule="auto"/>
            <w:jc w:val="center"/>
            <w:rPr>
              <w:rFonts w:ascii="Calibri" w:eastAsia="Calibri" w:hAnsi="Calibri" w:cs="Times New Roman"/>
              <w:b/>
              <w:iCs/>
              <w:color w:val="000000"/>
              <w:spacing w:val="3"/>
              <w:sz w:val="16"/>
              <w:szCs w:val="16"/>
              <w:lang w:val="ru-RU"/>
            </w:rPr>
          </w:pPr>
          <w:r w:rsidRPr="008C186D">
            <w:rPr>
              <w:rFonts w:ascii="Calibri" w:eastAsia="Calibri" w:hAnsi="Calibri" w:cs="Times New Roman"/>
              <w:b/>
              <w:iCs/>
              <w:color w:val="000000"/>
              <w:spacing w:val="3"/>
              <w:sz w:val="18"/>
              <w:szCs w:val="18"/>
              <w:lang w:val="ru-RU"/>
            </w:rPr>
            <w:t>МЕСТНА ИНИЦИАТИВНА ГРУПА-ЛОМ</w:t>
          </w:r>
        </w:p>
      </w:tc>
    </w:tr>
    <w:bookmarkEnd w:id="2"/>
  </w:tbl>
  <w:p w:rsidR="008C186D" w:rsidRDefault="008C186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789"/>
    <w:rsid w:val="0015214C"/>
    <w:rsid w:val="00162748"/>
    <w:rsid w:val="002C62FF"/>
    <w:rsid w:val="003345C1"/>
    <w:rsid w:val="004D6661"/>
    <w:rsid w:val="004F52FC"/>
    <w:rsid w:val="006B661D"/>
    <w:rsid w:val="0070335C"/>
    <w:rsid w:val="00742A78"/>
    <w:rsid w:val="008C186D"/>
    <w:rsid w:val="00927789"/>
    <w:rsid w:val="00A974AA"/>
    <w:rsid w:val="00BE2644"/>
    <w:rsid w:val="00C31E21"/>
    <w:rsid w:val="00C32253"/>
    <w:rsid w:val="00D56B3C"/>
    <w:rsid w:val="00EA2DD2"/>
    <w:rsid w:val="00EA3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26B11"/>
  <w15:chartTrackingRefBased/>
  <w15:docId w15:val="{D18F9EF0-49D0-4D9E-9003-6131EC168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7789"/>
    <w:pPr>
      <w:spacing w:after="200" w:line="276" w:lineRule="auto"/>
    </w:pPr>
    <w:rPr>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ен текст + Удебелен"/>
    <w:basedOn w:val="a0"/>
    <w:rsid w:val="00927789"/>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bg-BG" w:eastAsia="bg-BG" w:bidi="bg-BG"/>
    </w:rPr>
  </w:style>
  <w:style w:type="character" w:customStyle="1" w:styleId="2">
    <w:name w:val="Основен текст2"/>
    <w:basedOn w:val="a0"/>
    <w:rsid w:val="0092778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bg-BG" w:eastAsia="bg-BG" w:bidi="bg-BG"/>
    </w:rPr>
  </w:style>
  <w:style w:type="paragraph" w:styleId="a4">
    <w:name w:val="header"/>
    <w:basedOn w:val="a"/>
    <w:link w:val="a5"/>
    <w:uiPriority w:val="99"/>
    <w:unhideWhenUsed/>
    <w:rsid w:val="008C186D"/>
    <w:pPr>
      <w:tabs>
        <w:tab w:val="center" w:pos="4680"/>
        <w:tab w:val="right" w:pos="9360"/>
      </w:tabs>
      <w:spacing w:after="0" w:line="240" w:lineRule="auto"/>
    </w:pPr>
  </w:style>
  <w:style w:type="character" w:customStyle="1" w:styleId="a5">
    <w:name w:val="Горен колонтитул Знак"/>
    <w:basedOn w:val="a0"/>
    <w:link w:val="a4"/>
    <w:uiPriority w:val="99"/>
    <w:rsid w:val="008C186D"/>
    <w:rPr>
      <w:lang w:val="bg-BG"/>
    </w:rPr>
  </w:style>
  <w:style w:type="paragraph" w:styleId="a6">
    <w:name w:val="footer"/>
    <w:basedOn w:val="a"/>
    <w:link w:val="a7"/>
    <w:uiPriority w:val="99"/>
    <w:unhideWhenUsed/>
    <w:rsid w:val="008C186D"/>
    <w:pPr>
      <w:tabs>
        <w:tab w:val="center" w:pos="4680"/>
        <w:tab w:val="right" w:pos="9360"/>
      </w:tabs>
      <w:spacing w:after="0" w:line="240" w:lineRule="auto"/>
    </w:pPr>
  </w:style>
  <w:style w:type="character" w:customStyle="1" w:styleId="a7">
    <w:name w:val="Долен колонтитул Знак"/>
    <w:basedOn w:val="a0"/>
    <w:link w:val="a6"/>
    <w:uiPriority w:val="99"/>
    <w:rsid w:val="008C186D"/>
    <w:rPr>
      <w:lang w:val="bg-BG"/>
    </w:rPr>
  </w:style>
  <w:style w:type="paragraph" w:styleId="a8">
    <w:name w:val="Balloon Text"/>
    <w:basedOn w:val="a"/>
    <w:link w:val="a9"/>
    <w:uiPriority w:val="99"/>
    <w:semiHidden/>
    <w:unhideWhenUsed/>
    <w:rsid w:val="00D56B3C"/>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D56B3C"/>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miglom.org/" TargetMode="External"/><Relationship Id="rId2" Type="http://schemas.openxmlformats.org/officeDocument/2006/relationships/hyperlink" Target="mailto:miglom@abv.bg" TargetMode="External"/><Relationship Id="rId1" Type="http://schemas.openxmlformats.org/officeDocument/2006/relationships/hyperlink" Target="mailto:office@miglom.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2304</Words>
  <Characters>13138</Characters>
  <Application>Microsoft Office Word</Application>
  <DocSecurity>0</DocSecurity>
  <Lines>109</Lines>
  <Paragraphs>30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dc:creator>
  <cp:keywords/>
  <dc:description/>
  <cp:lastModifiedBy>Big Boss</cp:lastModifiedBy>
  <cp:revision>8</cp:revision>
  <cp:lastPrinted>2018-07-26T14:20:00Z</cp:lastPrinted>
  <dcterms:created xsi:type="dcterms:W3CDTF">2018-06-11T06:35:00Z</dcterms:created>
  <dcterms:modified xsi:type="dcterms:W3CDTF">2018-07-26T14:50:00Z</dcterms:modified>
</cp:coreProperties>
</file>