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B50" w:rsidRDefault="006E11C9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92B50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val="bg-BG" w:eastAsia="bg-BG"/>
        </w:rPr>
        <w:drawing>
          <wp:anchor distT="0" distB="0" distL="114300" distR="114300" simplePos="0" relativeHeight="251657216" behindDoc="0" locked="0" layoutInCell="1" allowOverlap="1" wp14:anchorId="19434F5A" wp14:editId="46480051">
            <wp:simplePos x="0" y="0"/>
            <wp:positionH relativeFrom="column">
              <wp:posOffset>307975</wp:posOffset>
            </wp:positionH>
            <wp:positionV relativeFrom="paragraph">
              <wp:posOffset>49530</wp:posOffset>
            </wp:positionV>
            <wp:extent cx="1008380" cy="1043940"/>
            <wp:effectExtent l="0" t="0" r="0" b="0"/>
            <wp:wrapNone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2B50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val="bg-BG" w:eastAsia="bg-BG"/>
        </w:rPr>
        <w:drawing>
          <wp:anchor distT="0" distB="0" distL="114300" distR="114300" simplePos="0" relativeHeight="251659264" behindDoc="0" locked="0" layoutInCell="1" allowOverlap="1" wp14:anchorId="53410E59" wp14:editId="01D04DE5">
            <wp:simplePos x="0" y="0"/>
            <wp:positionH relativeFrom="column">
              <wp:posOffset>4858385</wp:posOffset>
            </wp:positionH>
            <wp:positionV relativeFrom="paragraph">
              <wp:posOffset>123190</wp:posOffset>
            </wp:positionV>
            <wp:extent cx="1017905" cy="8712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11C9" w:rsidRPr="006E11C9" w:rsidRDefault="006E11C9" w:rsidP="006E11C9">
      <w:pPr>
        <w:pBdr>
          <w:bottom w:val="single" w:sz="4" w:space="1" w:color="auto"/>
        </w:pBdr>
        <w:tabs>
          <w:tab w:val="left" w:pos="375"/>
          <w:tab w:val="center" w:pos="4536"/>
          <w:tab w:val="center" w:pos="4960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bg-BG" w:eastAsia="bg-BG"/>
        </w:rPr>
      </w:pPr>
      <w:r w:rsidRPr="00C92B50">
        <w:rPr>
          <w:rFonts w:ascii="Times New Roman" w:eastAsia="Times New Roman" w:hAnsi="Times New Roman" w:cs="Times New Roman"/>
          <w:b/>
          <w:i/>
          <w:noProof/>
          <w:sz w:val="18"/>
          <w:szCs w:val="18"/>
          <w:lang w:val="bg-BG" w:eastAsia="bg-BG"/>
        </w:rPr>
        <w:drawing>
          <wp:inline distT="0" distB="0" distL="0" distR="0" wp14:anchorId="1086E0C0" wp14:editId="2168F2C7">
            <wp:extent cx="628650" cy="628650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B50" w:rsidRDefault="00C92B50" w:rsidP="00C92B50">
      <w:pPr>
        <w:pBdr>
          <w:bottom w:val="single" w:sz="4" w:space="1" w:color="auto"/>
        </w:pBdr>
        <w:tabs>
          <w:tab w:val="left" w:pos="375"/>
          <w:tab w:val="center" w:pos="4536"/>
          <w:tab w:val="center" w:pos="4960"/>
          <w:tab w:val="right" w:pos="9072"/>
        </w:tabs>
        <w:spacing w:after="0" w:line="240" w:lineRule="auto"/>
        <w:jc w:val="center"/>
        <w:rPr>
          <w:rFonts w:ascii="Calibri Light" w:eastAsia="Times New Roman" w:hAnsi="Calibri Light" w:cs="Calibri Light"/>
          <w:noProof/>
          <w:color w:val="002060"/>
          <w:sz w:val="16"/>
          <w:szCs w:val="16"/>
          <w:lang w:val="bg-BG" w:eastAsia="bg-BG"/>
        </w:rPr>
      </w:pPr>
      <w:bookmarkStart w:id="0" w:name="_Hlk518295019"/>
      <w:r w:rsidRPr="00C92B50">
        <w:rPr>
          <w:rFonts w:ascii="Calibri Light" w:eastAsia="Times New Roman" w:hAnsi="Calibri Light" w:cs="Calibri Light"/>
          <w:noProof/>
          <w:color w:val="002060"/>
          <w:sz w:val="16"/>
          <w:szCs w:val="16"/>
          <w:lang w:val="bg-BG" w:eastAsia="bg-BG"/>
        </w:rPr>
        <w:t>МИГ ЛОМ</w:t>
      </w:r>
    </w:p>
    <w:bookmarkEnd w:id="0"/>
    <w:p w:rsidR="00CB189B" w:rsidRPr="00C92B50" w:rsidRDefault="00CB189B" w:rsidP="00C92B50">
      <w:pPr>
        <w:pBdr>
          <w:bottom w:val="single" w:sz="4" w:space="1" w:color="auto"/>
        </w:pBdr>
        <w:tabs>
          <w:tab w:val="left" w:pos="375"/>
          <w:tab w:val="center" w:pos="4536"/>
          <w:tab w:val="center" w:pos="4960"/>
          <w:tab w:val="right" w:pos="9072"/>
        </w:tabs>
        <w:spacing w:after="0" w:line="240" w:lineRule="auto"/>
        <w:jc w:val="center"/>
        <w:rPr>
          <w:rFonts w:ascii="Calibri Light" w:eastAsia="Times New Roman" w:hAnsi="Calibri Light" w:cs="Calibri Light"/>
          <w:noProof/>
          <w:color w:val="002060"/>
          <w:sz w:val="16"/>
          <w:szCs w:val="16"/>
          <w:lang w:val="bg-BG" w:eastAsia="bg-BG"/>
        </w:rPr>
      </w:pPr>
    </w:p>
    <w:p w:rsidR="00C92B50" w:rsidRDefault="00C92B50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C92B50" w:rsidRDefault="00C92B50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C92B50" w:rsidRDefault="00C92B50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C92B50" w:rsidRDefault="00C92B50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C92B50" w:rsidRDefault="00C92B50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C92B50" w:rsidRDefault="00C92B50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КАНДИДАТИТЕ ПО ОПЕРАТИВНА ПРОГРАМА </w:t>
      </w:r>
    </w:p>
    <w:p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„РАЗВИТИЕ НА ЧОВЕШКИТЕ РЕСУРСИ“ 2014 – 2020 </w:t>
      </w:r>
    </w:p>
    <w:p w:rsidR="009C5BBD" w:rsidRPr="00754AE5" w:rsidRDefault="009C5BBD" w:rsidP="009C5BBD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:rsidR="009C5BBD" w:rsidRDefault="009C5BBD" w:rsidP="009C5BBD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кандидатите по Оперативна Програма „Развитие на Човешките Ресурси“ 2014 – 2020 г. е разработена в изпълнение на член 125, ал.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1303/2013, член 196, ал. 1 от Регламент 1268/2012 и член 202, ал.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2 и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ал.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 от Регламент 1268/2012.</w:t>
      </w:r>
    </w:p>
    <w:p w:rsidR="009C5BBD" w:rsidRPr="00754AE5" w:rsidRDefault="009C5BBD" w:rsidP="009C5BBD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:rsidR="00AE68CD" w:rsidRPr="005612C0" w:rsidRDefault="009C5BBD" w:rsidP="00AE68C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bookmarkStart w:id="1" w:name="_GoBack"/>
      <w:r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При подаване на проектни предложения кандидатите трябва да представят счетоводен баланс за </w:t>
      </w:r>
      <w:r w:rsidR="00AE68CD"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предходната </w:t>
      </w:r>
      <w:r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финансов</w:t>
      </w:r>
      <w:r w:rsidR="005134B4"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</w:t>
      </w:r>
      <w:r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годин</w:t>
      </w:r>
      <w:r w:rsidR="005134B4"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</w:t>
      </w:r>
      <w:r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  <w:r w:rsidR="005134B4"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</w:p>
    <w:p w:rsidR="00AE68CD" w:rsidRPr="005612C0" w:rsidRDefault="00AE68CD" w:rsidP="00AE68C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Когато кандидатите/партньорите са различни от общините и новосъздадените организации се извършва служебна проверка в Националния статистически институт (НСИ) на данните от счетоводния баланс на организацията за предходната финансова година (текуща печалба/загуба, стойност на собствения капитал и стойност на актива). В случай че кандидатът/партньорите не са представили в НСИ финансови отчети за предходната финансова година, следва да се приложи Счетовод</w:t>
      </w:r>
      <w:r w:rsidR="00CF775E"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е</w:t>
      </w:r>
      <w:r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н баланс </w:t>
      </w:r>
      <w:r w:rsidR="00CF775E"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за 2018 г. </w:t>
      </w:r>
      <w:r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в секция 12 на</w:t>
      </w:r>
      <w:r w:rsidR="00CF775E"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проектното предложение в</w:t>
      </w:r>
      <w:r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ИСУН 2020 на етап подаване на проектно предложение.</w:t>
      </w:r>
    </w:p>
    <w:p w:rsidR="00AE68CD" w:rsidRPr="005612C0" w:rsidRDefault="00AE68CD" w:rsidP="00AE68C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Когато кандидатът/партньорът е новорегистрирана/новосъздадена организация през текущата година, следва да  приложи в секция 12</w:t>
      </w:r>
      <w:r w:rsidR="00CF775E"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на проектното предложение в</w:t>
      </w:r>
      <w:r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ИСУН 2020 Счетоводен баланс за периода от регистрацията на кандидата/партньора</w:t>
      </w:r>
      <w:r w:rsidR="00CF775E"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през текущата година</w:t>
      </w:r>
      <w:r w:rsidRPr="005612C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до последната дата на месеца, предхождащ месеца на кандидатстване.</w:t>
      </w:r>
    </w:p>
    <w:bookmarkEnd w:id="1"/>
    <w:p w:rsidR="009C5BBD" w:rsidRPr="00754AE5" w:rsidRDefault="009C5BBD" w:rsidP="009C5BBD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:rsidR="009C5BBD" w:rsidRPr="0090257B" w:rsidRDefault="009C5BBD" w:rsidP="009C5B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lastRenderedPageBreak/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:rsidR="009C5BBD" w:rsidRDefault="009C5BBD" w:rsidP="009C5BBD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 установи, че са налице индикации за затруднено финансово положение на кандидата, комисията ще отхвърли проектното предложение на етап „Административно съответствие и допустимост“.</w:t>
      </w:r>
    </w:p>
    <w:p w:rsidR="009C5BBD" w:rsidRPr="00754AE5" w:rsidRDefault="009C5BBD" w:rsidP="009C5BBD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:rsidR="009C5BBD" w:rsidRPr="0090257B" w:rsidRDefault="009C5BBD" w:rsidP="009C5B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за финансова стабилност дава информация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:rsidR="009C5BBD" w:rsidRPr="0090257B" w:rsidRDefault="009C5BBD" w:rsidP="009C5B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Оценката се основава на няколко коефициента: </w:t>
      </w:r>
    </w:p>
    <w:p w:rsidR="009C5BBD" w:rsidRPr="0090257B" w:rsidRDefault="009C5BBD" w:rsidP="009C5BBD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:rsidR="009C5BBD" w:rsidRPr="0090257B" w:rsidRDefault="009C5BBD" w:rsidP="009C5BBD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коефициент за рентабилност. </w:t>
      </w:r>
    </w:p>
    <w:p w:rsidR="009C5BBD" w:rsidRPr="0090257B" w:rsidRDefault="009C5BBD" w:rsidP="009C5BBD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Методика</w:t>
      </w:r>
      <w:r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 специфичните характеристики на кандидатите и може да бъде използвана за организации с различни юридически форми от търговски </w:t>
      </w:r>
      <w:r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:rsidR="009C5BBD" w:rsidRPr="00754AE5" w:rsidRDefault="009C5BBD" w:rsidP="009C5BBD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:rsidR="009C5BBD" w:rsidRPr="0090257B" w:rsidRDefault="009C5BBD" w:rsidP="009C5BBD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9C5BBD" w:rsidRPr="00E2541E" w:rsidRDefault="009C5BBD" w:rsidP="009C5BBD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Оценка на финансовата </w:t>
      </w:r>
      <w:r w:rsidRPr="00E2541E">
        <w:rPr>
          <w:rFonts w:ascii="Times New Roman" w:hAnsi="Times New Roman" w:cs="Times New Roman"/>
          <w:b/>
          <w:i/>
          <w:sz w:val="24"/>
          <w:szCs w:val="24"/>
          <w:lang w:val="bg-BG"/>
        </w:rPr>
        <w:t>стабилност</w:t>
      </w:r>
    </w:p>
    <w:p w:rsidR="009C5BBD" w:rsidRDefault="009C5BBD" w:rsidP="009C5BBD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 w:rsidRPr="00E2541E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:rsidR="00B534D5" w:rsidRPr="00E43CFD" w:rsidRDefault="00B534D5" w:rsidP="00B534D5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I.  Финансова независимост =  </w:t>
      </w:r>
      <w:r w:rsidRPr="00E43CFD">
        <w:rPr>
          <w:rFonts w:ascii="Times New Roman" w:hAnsi="Times New Roman" w:cs="Times New Roman"/>
          <w:sz w:val="24"/>
          <w:szCs w:val="24"/>
          <w:u w:val="single"/>
          <w:lang w:val="bg-BG"/>
        </w:rPr>
        <w:t>Собствен капитал (код 05000)</w:t>
      </w:r>
      <w:r w:rsidR="00C86A1A">
        <w:rPr>
          <w:rStyle w:val="af2"/>
          <w:rFonts w:ascii="Times New Roman" w:hAnsi="Times New Roman" w:cs="Times New Roman"/>
          <w:sz w:val="24"/>
          <w:szCs w:val="24"/>
          <w:u w:val="single"/>
          <w:lang w:val="bg-BG"/>
        </w:rPr>
        <w:footnoteReference w:id="1"/>
      </w:r>
    </w:p>
    <w:p w:rsidR="00B534D5" w:rsidRPr="00E43CFD" w:rsidRDefault="00B534D5" w:rsidP="00B534D5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E43CFD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</w:t>
      </w:r>
      <w:r w:rsidRPr="00E43CFD">
        <w:rPr>
          <w:rFonts w:ascii="Times New Roman" w:hAnsi="Times New Roman" w:cs="Times New Roman"/>
          <w:sz w:val="24"/>
          <w:szCs w:val="24"/>
          <w:lang w:val="bg-BG"/>
        </w:rPr>
        <w:t>Сума на актива</w:t>
      </w:r>
      <w:r w:rsidR="00C86A1A">
        <w:rPr>
          <w:rStyle w:val="af2"/>
          <w:rFonts w:ascii="Times New Roman" w:hAnsi="Times New Roman" w:cs="Times New Roman"/>
          <w:sz w:val="24"/>
          <w:szCs w:val="24"/>
          <w:lang w:val="bg-BG"/>
        </w:rPr>
        <w:footnoteReference w:id="2"/>
      </w:r>
      <w:r w:rsidRPr="00E43CFD">
        <w:rPr>
          <w:rFonts w:ascii="Times New Roman" w:hAnsi="Times New Roman" w:cs="Times New Roman"/>
          <w:sz w:val="24"/>
          <w:szCs w:val="24"/>
          <w:lang w:val="bg-BG"/>
        </w:rPr>
        <w:t xml:space="preserve"> (код 04500) </w:t>
      </w:r>
    </w:p>
    <w:p w:rsidR="00B534D5" w:rsidRPr="00E43CFD" w:rsidRDefault="00B534D5" w:rsidP="00B534D5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E43CFD">
        <w:rPr>
          <w:rFonts w:ascii="Times New Roman" w:hAnsi="Times New Roman" w:cs="Times New Roman"/>
          <w:sz w:val="24"/>
          <w:szCs w:val="24"/>
          <w:lang w:val="bg-BG"/>
        </w:rPr>
        <w:t xml:space="preserve">II. Рентабилност = </w:t>
      </w:r>
      <w:r w:rsidRPr="00E43C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43CFD">
        <w:rPr>
          <w:rFonts w:ascii="Times New Roman" w:hAnsi="Times New Roman" w:cs="Times New Roman"/>
          <w:sz w:val="24"/>
          <w:szCs w:val="24"/>
          <w:u w:val="single"/>
          <w:lang w:val="bg-BG"/>
        </w:rPr>
        <w:t>Печалба или загуба (код 05600)</w:t>
      </w:r>
      <w:r w:rsidRPr="00E43CF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B534D5" w:rsidRPr="00E43CFD" w:rsidRDefault="00B534D5" w:rsidP="00B534D5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E43CFD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        </w:t>
      </w:r>
      <w:r w:rsidRPr="00E43CFD">
        <w:rPr>
          <w:rFonts w:ascii="Times New Roman" w:hAnsi="Times New Roman" w:cs="Times New Roman"/>
          <w:sz w:val="24"/>
          <w:szCs w:val="24"/>
          <w:lang w:val="bg-BG"/>
        </w:rPr>
        <w:t xml:space="preserve"> Сума на актива (код 04500)</w:t>
      </w:r>
    </w:p>
    <w:p w:rsidR="00B534D5" w:rsidRPr="00E2541E" w:rsidRDefault="00B534D5" w:rsidP="009C5BBD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</w:p>
    <w:p w:rsidR="009C5BBD" w:rsidRDefault="009C5BBD" w:rsidP="009C5BBD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отношение към общата сума на </w:t>
      </w:r>
      <w:r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е по-близо съотношението </w:t>
      </w:r>
      <w:r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финансово независима е организацията и има по-голяма автономия за управление.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lastRenderedPageBreak/>
        <w:t>Колкото е по-близо съотношението до 0, толкова по-зависима е организацията е от финансиране от трета страна. Колкото по-нисък е коеф</w:t>
      </w:r>
      <w:r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външно финансиране.</w:t>
      </w:r>
    </w:p>
    <w:p w:rsidR="009C5BBD" w:rsidRDefault="009C5BBD" w:rsidP="009C5BBD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:rsidR="009C5BBD" w:rsidRPr="00754AE5" w:rsidRDefault="009C5BBD" w:rsidP="009C5BBD">
      <w:pPr>
        <w:pStyle w:val="a3"/>
        <w:numPr>
          <w:ilvl w:val="0"/>
          <w:numId w:val="1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Оценка</w:t>
      </w:r>
    </w:p>
    <w:p w:rsidR="009C5BBD" w:rsidRPr="0090257B" w:rsidRDefault="009C5BBD" w:rsidP="009C5BB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За да бъде определено нивото (лошо или добро) на финансовата стабилност на кандидатите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9C5BBD" w:rsidRPr="0090257B" w:rsidTr="000715A3">
        <w:tc>
          <w:tcPr>
            <w:tcW w:w="3544" w:type="dxa"/>
            <w:vAlign w:val="center"/>
          </w:tcPr>
          <w:p w:rsidR="009C5BBD" w:rsidRPr="0090257B" w:rsidRDefault="009C5BBD" w:rsidP="000715A3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Индикатори</w:t>
            </w:r>
          </w:p>
        </w:tc>
        <w:tc>
          <w:tcPr>
            <w:tcW w:w="3119" w:type="dxa"/>
            <w:vAlign w:val="center"/>
          </w:tcPr>
          <w:p w:rsidR="009C5BBD" w:rsidRPr="0090257B" w:rsidRDefault="009C5BBD" w:rsidP="000715A3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:rsidR="009C5BBD" w:rsidRPr="0090257B" w:rsidRDefault="009C5BBD" w:rsidP="000715A3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9C5BBD" w:rsidRPr="0090257B" w:rsidTr="000715A3">
        <w:tc>
          <w:tcPr>
            <w:tcW w:w="3544" w:type="dxa"/>
            <w:vAlign w:val="center"/>
          </w:tcPr>
          <w:p w:rsidR="009C5BBD" w:rsidRPr="0090257B" w:rsidRDefault="009C5BBD" w:rsidP="000715A3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:rsidR="009C5BBD" w:rsidRPr="005B1B90" w:rsidRDefault="009C5BBD" w:rsidP="000715A3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:rsidR="009C5BBD" w:rsidRPr="005B1B90" w:rsidRDefault="009C5BBD" w:rsidP="000715A3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:rsidR="009C5BBD" w:rsidRPr="005B1B90" w:rsidRDefault="009C5BBD" w:rsidP="000715A3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:rsidR="009C5BBD" w:rsidRPr="005B1B90" w:rsidRDefault="009C5BBD" w:rsidP="000715A3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:rsidR="009C5BBD" w:rsidRPr="0090257B" w:rsidRDefault="009C5BBD" w:rsidP="000715A3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:rsidR="009C5BBD" w:rsidRPr="0090257B" w:rsidRDefault="009C5BBD" w:rsidP="000715A3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9C5BBD" w:rsidRPr="0090257B" w:rsidRDefault="009C5BBD" w:rsidP="000715A3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:rsidR="009C5BBD" w:rsidRPr="0090257B" w:rsidRDefault="009C5BBD" w:rsidP="000715A3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9C5BBD" w:rsidRPr="0090257B" w:rsidRDefault="009C5BBD" w:rsidP="000715A3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:rsidR="009C5BBD" w:rsidRPr="0090257B" w:rsidRDefault="009C5BBD" w:rsidP="000715A3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9C5BBD" w:rsidRPr="0090257B" w:rsidTr="000715A3">
        <w:trPr>
          <w:cantSplit/>
        </w:trPr>
        <w:tc>
          <w:tcPr>
            <w:tcW w:w="3544" w:type="dxa"/>
            <w:vAlign w:val="center"/>
          </w:tcPr>
          <w:p w:rsidR="009C5BBD" w:rsidRPr="0090257B" w:rsidRDefault="009C5BBD" w:rsidP="000715A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:rsidR="009C5BBD" w:rsidRPr="0090257B" w:rsidRDefault="009C5BBD" w:rsidP="000715A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≥ 2%</w:t>
            </w:r>
          </w:p>
          <w:p w:rsidR="009C5BBD" w:rsidRPr="0090257B" w:rsidRDefault="009C5BBD" w:rsidP="000715A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&lt; 2%</w:t>
            </w:r>
          </w:p>
          <w:p w:rsidR="009C5BBD" w:rsidRPr="0090257B" w:rsidRDefault="009C5BBD" w:rsidP="000715A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&lt; - 2%</w:t>
            </w:r>
          </w:p>
        </w:tc>
        <w:tc>
          <w:tcPr>
            <w:tcW w:w="1700" w:type="dxa"/>
            <w:vAlign w:val="center"/>
          </w:tcPr>
          <w:p w:rsidR="009C5BBD" w:rsidRPr="0090257B" w:rsidRDefault="009C5BBD" w:rsidP="000715A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9C5BBD" w:rsidRPr="0090257B" w:rsidRDefault="009C5BBD" w:rsidP="000715A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9C5BBD" w:rsidRPr="0090257B" w:rsidRDefault="009C5BBD" w:rsidP="000715A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:rsidR="009C5BBD" w:rsidRDefault="009C5BBD" w:rsidP="009C5BBD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:rsidR="009C5BBD" w:rsidRPr="0090257B" w:rsidRDefault="009C5BBD" w:rsidP="009C5B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9C5BBD" w:rsidRPr="0090257B" w:rsidTr="000715A3">
        <w:tc>
          <w:tcPr>
            <w:tcW w:w="3402" w:type="dxa"/>
            <w:vAlign w:val="center"/>
          </w:tcPr>
          <w:p w:rsidR="009C5BBD" w:rsidRPr="0090257B" w:rsidRDefault="009C5BBD" w:rsidP="000715A3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:rsidR="009C5BBD" w:rsidRPr="0090257B" w:rsidRDefault="009C5BBD" w:rsidP="000715A3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:rsidR="009C5BBD" w:rsidRPr="0090257B" w:rsidRDefault="009C5BBD" w:rsidP="000715A3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9C5BBD" w:rsidRPr="0090257B" w:rsidTr="000715A3">
        <w:tc>
          <w:tcPr>
            <w:tcW w:w="3402" w:type="dxa"/>
            <w:vAlign w:val="center"/>
          </w:tcPr>
          <w:p w:rsidR="009C5BBD" w:rsidRPr="0090257B" w:rsidRDefault="009C5BBD" w:rsidP="000715A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:rsidR="009C5BBD" w:rsidRPr="0090257B" w:rsidRDefault="009C5BBD" w:rsidP="000715A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:rsidR="009C5BBD" w:rsidRPr="0090257B" w:rsidRDefault="009C5BBD" w:rsidP="000715A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:rsidR="009C5BBD" w:rsidRPr="00754AE5" w:rsidRDefault="009C5BBD" w:rsidP="009C5BBD">
      <w:pPr>
        <w:pStyle w:val="a3"/>
        <w:numPr>
          <w:ilvl w:val="0"/>
          <w:numId w:val="11"/>
        </w:numPr>
        <w:spacing w:before="480" w:after="24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Тълкуване на резултатите</w:t>
      </w:r>
    </w:p>
    <w:p w:rsidR="009C5BBD" w:rsidRPr="0090257B" w:rsidRDefault="009C5BBD" w:rsidP="009C5BB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основата на общата оценка кандидатите попадат в две основни категории:</w:t>
      </w:r>
    </w:p>
    <w:p w:rsidR="009C5BBD" w:rsidRPr="0090257B" w:rsidRDefault="009C5BBD" w:rsidP="009C5BB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1. Добра финансова стабилност</w:t>
      </w:r>
    </w:p>
    <w:p w:rsidR="009C5BBD" w:rsidRPr="0090257B" w:rsidRDefault="009C5BBD" w:rsidP="009C5BBD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Кандидатът демонстрира стабилен финансов профил. Изпълнени са условията за отпускане на безвъзмездна финансова помощ при нисък риск за средствата </w:t>
      </w:r>
      <w:r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9C5BBD" w:rsidRPr="0090257B" w:rsidRDefault="009C5BBD" w:rsidP="009C5BB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2. Лоша финансова стабилност</w:t>
      </w:r>
    </w:p>
    <w:p w:rsidR="009C5BBD" w:rsidRPr="0090257B" w:rsidRDefault="009C5BBD" w:rsidP="009C5BB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lastRenderedPageBreak/>
        <w:t>Оценителн</w:t>
      </w:r>
      <w:r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та комисия отхвърля проектното предложение на кандидата на етап „Административно съответствие и допустимост“.</w:t>
      </w:r>
    </w:p>
    <w:p w:rsidR="00C4321A" w:rsidRPr="0090257B" w:rsidRDefault="00C4321A" w:rsidP="005612C0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  <w:lang w:val="bg-BG"/>
        </w:rPr>
      </w:pPr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00F" w:rsidRDefault="0033300F" w:rsidP="00B938A0">
      <w:pPr>
        <w:spacing w:after="0" w:line="240" w:lineRule="auto"/>
      </w:pPr>
      <w:r>
        <w:separator/>
      </w:r>
    </w:p>
  </w:endnote>
  <w:endnote w:type="continuationSeparator" w:id="0">
    <w:p w:rsidR="0033300F" w:rsidRDefault="0033300F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00F" w:rsidRDefault="0033300F" w:rsidP="00B938A0">
      <w:pPr>
        <w:spacing w:after="0" w:line="240" w:lineRule="auto"/>
      </w:pPr>
      <w:r>
        <w:separator/>
      </w:r>
    </w:p>
  </w:footnote>
  <w:footnote w:type="continuationSeparator" w:id="0">
    <w:p w:rsidR="0033300F" w:rsidRDefault="0033300F" w:rsidP="00B938A0">
      <w:pPr>
        <w:spacing w:after="0" w:line="240" w:lineRule="auto"/>
      </w:pPr>
      <w:r>
        <w:continuationSeparator/>
      </w:r>
    </w:p>
  </w:footnote>
  <w:footnote w:id="1">
    <w:p w:rsidR="00C86A1A" w:rsidRPr="00C86A1A" w:rsidRDefault="00C86A1A">
      <w:pPr>
        <w:pStyle w:val="af0"/>
        <w:rPr>
          <w:lang w:val="bg-BG"/>
        </w:rPr>
      </w:pPr>
      <w:r w:rsidRPr="00C86A1A">
        <w:rPr>
          <w:rStyle w:val="af2"/>
          <w:lang w:val="bg-BG"/>
        </w:rPr>
        <w:footnoteRef/>
      </w:r>
      <w:r w:rsidRPr="00C86A1A">
        <w:rPr>
          <w:lang w:val="bg-BG"/>
        </w:rPr>
        <w:t xml:space="preserve"> Кодовете са данни от счетоводния баланс</w:t>
      </w:r>
    </w:p>
  </w:footnote>
  <w:footnote w:id="2">
    <w:p w:rsidR="00C86A1A" w:rsidRPr="00C86A1A" w:rsidRDefault="00C86A1A">
      <w:pPr>
        <w:pStyle w:val="af0"/>
        <w:rPr>
          <w:lang w:val="bg-BG"/>
        </w:rPr>
      </w:pPr>
      <w:r w:rsidRPr="00C86A1A">
        <w:rPr>
          <w:rStyle w:val="af2"/>
          <w:lang w:val="bg-BG"/>
        </w:rPr>
        <w:footnoteRef/>
      </w:r>
      <w:r w:rsidRPr="00C86A1A">
        <w:rPr>
          <w:lang w:val="bg-BG"/>
        </w:rPr>
        <w:t xml:space="preserve"> В случаите, когато “Сума на Актива“ и „Сумата на Пасива“ е равна на „0“ не е невъзможно изчислението на показателите за оценка на финансов капацитет, тъй като на „0“ не се дели. В тези случаи ще се счита, че кандидатът има лоша финансова стабилност.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1460"/>
    <w:rsid w:val="00011B1E"/>
    <w:rsid w:val="000229E1"/>
    <w:rsid w:val="00022D73"/>
    <w:rsid w:val="00025870"/>
    <w:rsid w:val="000330D5"/>
    <w:rsid w:val="00067A31"/>
    <w:rsid w:val="00075A94"/>
    <w:rsid w:val="000E595F"/>
    <w:rsid w:val="00102707"/>
    <w:rsid w:val="00106B39"/>
    <w:rsid w:val="00162BE1"/>
    <w:rsid w:val="001B39F2"/>
    <w:rsid w:val="001D41F5"/>
    <w:rsid w:val="001D5467"/>
    <w:rsid w:val="0021304A"/>
    <w:rsid w:val="00225277"/>
    <w:rsid w:val="00265F3F"/>
    <w:rsid w:val="00275BB5"/>
    <w:rsid w:val="002A2527"/>
    <w:rsid w:val="002E05D6"/>
    <w:rsid w:val="00304175"/>
    <w:rsid w:val="00305095"/>
    <w:rsid w:val="00305CE0"/>
    <w:rsid w:val="003200C9"/>
    <w:rsid w:val="0033300F"/>
    <w:rsid w:val="003A4DF2"/>
    <w:rsid w:val="003E50D7"/>
    <w:rsid w:val="003E5162"/>
    <w:rsid w:val="003F4DBC"/>
    <w:rsid w:val="00401CE9"/>
    <w:rsid w:val="00417DCE"/>
    <w:rsid w:val="004313F7"/>
    <w:rsid w:val="004457C4"/>
    <w:rsid w:val="0045595E"/>
    <w:rsid w:val="004617B8"/>
    <w:rsid w:val="00471FC2"/>
    <w:rsid w:val="00492ACD"/>
    <w:rsid w:val="004E0E1E"/>
    <w:rsid w:val="004F2B1C"/>
    <w:rsid w:val="005134B4"/>
    <w:rsid w:val="00533D57"/>
    <w:rsid w:val="00540FE6"/>
    <w:rsid w:val="00550B6F"/>
    <w:rsid w:val="00553A92"/>
    <w:rsid w:val="005612C0"/>
    <w:rsid w:val="005615DB"/>
    <w:rsid w:val="005751E8"/>
    <w:rsid w:val="0057652F"/>
    <w:rsid w:val="005964EE"/>
    <w:rsid w:val="005A2CD6"/>
    <w:rsid w:val="005B1B90"/>
    <w:rsid w:val="005C3D7A"/>
    <w:rsid w:val="005E0E81"/>
    <w:rsid w:val="005E1B50"/>
    <w:rsid w:val="005E77DC"/>
    <w:rsid w:val="006369D2"/>
    <w:rsid w:val="0066504F"/>
    <w:rsid w:val="00683044"/>
    <w:rsid w:val="006939C0"/>
    <w:rsid w:val="006A5DDC"/>
    <w:rsid w:val="006E11C9"/>
    <w:rsid w:val="00720EC0"/>
    <w:rsid w:val="00722AEE"/>
    <w:rsid w:val="0073382E"/>
    <w:rsid w:val="007352C8"/>
    <w:rsid w:val="00754AE5"/>
    <w:rsid w:val="00756B49"/>
    <w:rsid w:val="007628C7"/>
    <w:rsid w:val="00786495"/>
    <w:rsid w:val="007A6DAD"/>
    <w:rsid w:val="007C36FB"/>
    <w:rsid w:val="007D4C04"/>
    <w:rsid w:val="007E2FC8"/>
    <w:rsid w:val="007E39A3"/>
    <w:rsid w:val="007E79C0"/>
    <w:rsid w:val="00811432"/>
    <w:rsid w:val="0082006C"/>
    <w:rsid w:val="00826A81"/>
    <w:rsid w:val="00852E58"/>
    <w:rsid w:val="00853BE3"/>
    <w:rsid w:val="008909E8"/>
    <w:rsid w:val="008951F9"/>
    <w:rsid w:val="008C4A97"/>
    <w:rsid w:val="008C56E2"/>
    <w:rsid w:val="00901460"/>
    <w:rsid w:val="0090257B"/>
    <w:rsid w:val="009264A6"/>
    <w:rsid w:val="0096003E"/>
    <w:rsid w:val="00963BAA"/>
    <w:rsid w:val="00970883"/>
    <w:rsid w:val="00996CD1"/>
    <w:rsid w:val="009B6BA8"/>
    <w:rsid w:val="009C1D21"/>
    <w:rsid w:val="009C5BBD"/>
    <w:rsid w:val="009E4DD1"/>
    <w:rsid w:val="009E6616"/>
    <w:rsid w:val="009F4130"/>
    <w:rsid w:val="009F7052"/>
    <w:rsid w:val="00A12002"/>
    <w:rsid w:val="00A95996"/>
    <w:rsid w:val="00AC30D9"/>
    <w:rsid w:val="00AE68CD"/>
    <w:rsid w:val="00B1472B"/>
    <w:rsid w:val="00B25DEA"/>
    <w:rsid w:val="00B534D5"/>
    <w:rsid w:val="00B54B0F"/>
    <w:rsid w:val="00B60166"/>
    <w:rsid w:val="00B938A0"/>
    <w:rsid w:val="00BA0182"/>
    <w:rsid w:val="00BA11D9"/>
    <w:rsid w:val="00BD3655"/>
    <w:rsid w:val="00BE205E"/>
    <w:rsid w:val="00BF0B9A"/>
    <w:rsid w:val="00BF6ADB"/>
    <w:rsid w:val="00C01AC6"/>
    <w:rsid w:val="00C4321A"/>
    <w:rsid w:val="00C46FB4"/>
    <w:rsid w:val="00C502A1"/>
    <w:rsid w:val="00C86A1A"/>
    <w:rsid w:val="00C92B50"/>
    <w:rsid w:val="00CB189B"/>
    <w:rsid w:val="00CD287E"/>
    <w:rsid w:val="00CF1C47"/>
    <w:rsid w:val="00CF775E"/>
    <w:rsid w:val="00D10335"/>
    <w:rsid w:val="00D12140"/>
    <w:rsid w:val="00D274CD"/>
    <w:rsid w:val="00D56C7A"/>
    <w:rsid w:val="00D84194"/>
    <w:rsid w:val="00D86AD8"/>
    <w:rsid w:val="00D90B7C"/>
    <w:rsid w:val="00DC6AA5"/>
    <w:rsid w:val="00DE6775"/>
    <w:rsid w:val="00E15C50"/>
    <w:rsid w:val="00E441C4"/>
    <w:rsid w:val="00E83B40"/>
    <w:rsid w:val="00E86EE2"/>
    <w:rsid w:val="00ED38A4"/>
    <w:rsid w:val="00F1576F"/>
    <w:rsid w:val="00F31669"/>
    <w:rsid w:val="00F34A34"/>
    <w:rsid w:val="00F52830"/>
    <w:rsid w:val="00F63B61"/>
    <w:rsid w:val="00F66FFC"/>
    <w:rsid w:val="00F72A0E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7D83C-6469-4F8D-824E-11151D55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basedOn w:val="a"/>
    <w:uiPriority w:val="34"/>
    <w:qFormat/>
    <w:rsid w:val="009014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B39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938A0"/>
  </w:style>
  <w:style w:type="paragraph" w:styleId="a9">
    <w:name w:val="footer"/>
    <w:basedOn w:val="a"/>
    <w:link w:val="aa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938A0"/>
  </w:style>
  <w:style w:type="character" w:styleId="ab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F34A3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A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F34A34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semiHidden/>
    <w:rsid w:val="002E05D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E0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3BD1A-1ED2-4CC6-B544-3203E81D0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4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Krasa</cp:lastModifiedBy>
  <cp:revision>111</cp:revision>
  <dcterms:created xsi:type="dcterms:W3CDTF">2015-05-14T13:29:00Z</dcterms:created>
  <dcterms:modified xsi:type="dcterms:W3CDTF">2019-02-14T11:01:00Z</dcterms:modified>
</cp:coreProperties>
</file>