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396" w:tblpY="3241"/>
        <w:tblW w:w="14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"/>
        <w:gridCol w:w="2098"/>
        <w:gridCol w:w="2709"/>
        <w:gridCol w:w="2274"/>
        <w:gridCol w:w="1800"/>
        <w:gridCol w:w="1382"/>
        <w:gridCol w:w="4078"/>
      </w:tblGrid>
      <w:tr w:rsidR="00D54D6C" w:rsidRPr="008E76E8" w:rsidTr="008D563B">
        <w:trPr>
          <w:trHeight w:val="904"/>
        </w:trPr>
        <w:tc>
          <w:tcPr>
            <w:tcW w:w="342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№</w:t>
            </w:r>
          </w:p>
        </w:tc>
        <w:tc>
          <w:tcPr>
            <w:tcW w:w="2098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Стандарт</w:t>
            </w:r>
          </w:p>
        </w:tc>
        <w:tc>
          <w:tcPr>
            <w:tcW w:w="2709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Законодателство на ЕС</w:t>
            </w:r>
          </w:p>
        </w:tc>
        <w:tc>
          <w:tcPr>
            <w:tcW w:w="2274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Национално законодателство</w:t>
            </w:r>
          </w:p>
        </w:tc>
        <w:tc>
          <w:tcPr>
            <w:tcW w:w="1800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Дата, от която стандартът е задължителен</w:t>
            </w:r>
          </w:p>
        </w:tc>
        <w:tc>
          <w:tcPr>
            <w:tcW w:w="1382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 на гратисния период</w:t>
            </w:r>
          </w:p>
        </w:tc>
        <w:tc>
          <w:tcPr>
            <w:tcW w:w="4078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Вид на инвестицията</w:t>
            </w:r>
          </w:p>
        </w:tc>
      </w:tr>
      <w:tr w:rsidR="00D54D6C" w:rsidRPr="008E76E8" w:rsidTr="008D563B">
        <w:trPr>
          <w:trHeight w:val="5772"/>
        </w:trPr>
        <w:tc>
          <w:tcPr>
            <w:tcW w:w="342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1</w:t>
            </w:r>
          </w:p>
        </w:tc>
        <w:tc>
          <w:tcPr>
            <w:tcW w:w="2098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  <w:tc>
          <w:tcPr>
            <w:tcW w:w="2709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Директива 93/119/ЕС/22.12.1993 за защита на животните при клане;</w:t>
            </w:r>
          </w:p>
          <w:p w:rsidR="00D54D6C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 w:rsidR="00D54D6C">
              <w:rPr>
                <w:color w:val="000000"/>
              </w:rPr>
              <w:t>1099/</w:t>
            </w:r>
            <w:r w:rsidRPr="008E76E8">
              <w:rPr>
                <w:color w:val="000000"/>
              </w:rPr>
              <w:t>200</w:t>
            </w:r>
            <w:r w:rsidR="00D54D6C">
              <w:rPr>
                <w:color w:val="000000"/>
              </w:rPr>
              <w:t>9</w:t>
            </w:r>
            <w:r w:rsidR="00A12591">
              <w:rPr>
                <w:color w:val="000000"/>
                <w:lang w:val="en-US"/>
              </w:rPr>
              <w:t xml:space="preserve"> </w:t>
            </w:r>
            <w:r w:rsidR="00A12591">
              <w:rPr>
                <w:color w:val="000000"/>
              </w:rPr>
              <w:t>г.</w:t>
            </w:r>
            <w:r w:rsidR="00F67A8D">
              <w:rPr>
                <w:color w:val="000000"/>
              </w:rPr>
              <w:t xml:space="preserve"> относно защитата на животни по време на умъртвяване</w:t>
            </w:r>
          </w:p>
          <w:p w:rsidR="00F14878" w:rsidRPr="008E76E8" w:rsidRDefault="00D54D6C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>
              <w:rPr>
                <w:color w:val="000000"/>
              </w:rPr>
              <w:t>853//</w:t>
            </w:r>
            <w:r w:rsidRPr="008E76E8">
              <w:rPr>
                <w:color w:val="000000"/>
              </w:rPr>
              <w:t>200</w:t>
            </w:r>
            <w:r>
              <w:rPr>
                <w:color w:val="000000"/>
              </w:rPr>
              <w:t xml:space="preserve">4 , </w:t>
            </w:r>
            <w:r w:rsidR="00F14878" w:rsidRPr="008E76E8">
              <w:rPr>
                <w:color w:val="000000"/>
              </w:rPr>
              <w:t>чл. 10, §/3, Приложение III, Глава II/</w:t>
            </w:r>
          </w:p>
        </w:tc>
        <w:tc>
          <w:tcPr>
            <w:tcW w:w="2274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Наредба № 4 от 2014 г. за специфичните изисквания към производството на суровини и храни от животински произход в кланични пунктове, тяхното транспортиране и пускане на пазара </w:t>
            </w:r>
          </w:p>
        </w:tc>
        <w:tc>
          <w:tcPr>
            <w:tcW w:w="1800" w:type="dxa"/>
            <w:hideMark/>
          </w:tcPr>
          <w:p w:rsidR="00F14878" w:rsidRPr="00F67A8D" w:rsidRDefault="00F67A8D" w:rsidP="00D54D6C">
            <w:pPr>
              <w:pStyle w:val="ht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1.1.2013 </w:t>
            </w:r>
            <w:r>
              <w:rPr>
                <w:color w:val="000000"/>
              </w:rPr>
              <w:t>г.</w:t>
            </w:r>
          </w:p>
        </w:tc>
        <w:tc>
          <w:tcPr>
            <w:tcW w:w="1382" w:type="dxa"/>
            <w:hideMark/>
          </w:tcPr>
          <w:p w:rsidR="00F14878" w:rsidRPr="00D54D6C" w:rsidRDefault="00F67A8D" w:rsidP="00F67A8D">
            <w:pPr>
              <w:pStyle w:val="htleft"/>
              <w:rPr>
                <w:color w:val="FF0000"/>
              </w:rPr>
            </w:pPr>
            <w:r>
              <w:rPr>
                <w:color w:val="000000"/>
              </w:rPr>
              <w:t>29.12.2019 г.   за всички кланици</w:t>
            </w:r>
            <w:r w:rsidR="00471C61">
              <w:rPr>
                <w:color w:val="000000"/>
              </w:rPr>
              <w:t xml:space="preserve"> и кланични пунктове</w:t>
            </w:r>
            <w:r>
              <w:rPr>
                <w:color w:val="000000"/>
              </w:rPr>
              <w:t>, които са започнали да функционират преди 1 януари 2013 г.</w:t>
            </w:r>
          </w:p>
        </w:tc>
        <w:tc>
          <w:tcPr>
            <w:tcW w:w="4078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Закупуване/придобиване, изграждане и модернизиране на сгради и други недвижими активи, необходими за въвеждане на минимални стандарти за защита и хуманно отношение към животните и намаляване до минимум на страданията им по време на клане.</w:t>
            </w:r>
          </w:p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 и/или инсталиране на нови машини и оборудване/инструменти за въвеждане на 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</w:tr>
    </w:tbl>
    <w:p w:rsidR="00F14878" w:rsidRPr="008D563B" w:rsidRDefault="00F14878" w:rsidP="00485253">
      <w:pPr>
        <w:spacing w:line="360" w:lineRule="auto"/>
        <w:jc w:val="center"/>
        <w:rPr>
          <w:b/>
          <w:bCs/>
        </w:rPr>
      </w:pPr>
    </w:p>
    <w:p w:rsidR="008D563B" w:rsidRPr="008D563B" w:rsidRDefault="003F41D8" w:rsidP="00485253">
      <w:pPr>
        <w:spacing w:line="360" w:lineRule="auto"/>
        <w:jc w:val="right"/>
        <w:rPr>
          <w:b/>
          <w:bCs/>
          <w:lang w:val="en-US"/>
        </w:rPr>
      </w:pPr>
      <w:r w:rsidRPr="008D563B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>
        <w:rPr>
          <w:b/>
          <w:bCs/>
          <w:lang w:val="en-US"/>
        </w:rPr>
        <w:t>5</w:t>
      </w:r>
      <w:r w:rsidRPr="008D563B">
        <w:rPr>
          <w:b/>
          <w:bCs/>
        </w:rPr>
        <w:t xml:space="preserve"> </w:t>
      </w:r>
    </w:p>
    <w:p w:rsidR="008D563B" w:rsidRPr="003F41D8" w:rsidRDefault="003F41D8" w:rsidP="003F41D8">
      <w:pPr>
        <w:spacing w:line="360" w:lineRule="auto"/>
        <w:jc w:val="right"/>
        <w:rPr>
          <w:b/>
          <w:bCs/>
        </w:rPr>
      </w:pPr>
      <w:r>
        <w:rPr>
          <w:b/>
          <w:bCs/>
        </w:rPr>
        <w:t>КЪМ УСЛОВИЯТА ЗА КАНДИДАТСТВНАНЕ</w:t>
      </w:r>
    </w:p>
    <w:sectPr w:rsidR="008D563B" w:rsidRPr="003F41D8" w:rsidSect="004852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78A" w:rsidRDefault="002C078A" w:rsidP="000B4642">
      <w:r>
        <w:separator/>
      </w:r>
    </w:p>
  </w:endnote>
  <w:endnote w:type="continuationSeparator" w:id="0">
    <w:p w:rsidR="002C078A" w:rsidRDefault="002C078A" w:rsidP="000B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642" w:rsidRDefault="000B464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41" w:rsidRDefault="00D86B41" w:rsidP="00D86B41">
    <w:pPr>
      <w:jc w:val="center"/>
      <w:rPr>
        <w:rFonts w:eastAsia="Calibri"/>
        <w:sz w:val="20"/>
        <w:szCs w:val="22"/>
        <w:lang w:val="en-US" w:eastAsia="en-US"/>
      </w:rPr>
    </w:pPr>
    <w:r>
      <w:rPr>
        <w:rFonts w:eastAsia="Calibri"/>
        <w:noProof/>
        <w:sz w:val="20"/>
        <w:szCs w:val="2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.4pt;margin-top:5.85pt;width:446.65pt;height:0;z-index:251661312" o:connectortype="straight"/>
      </w:pict>
    </w:r>
  </w:p>
  <w:p w:rsidR="00D86B41" w:rsidRPr="000271DC" w:rsidRDefault="00D86B41" w:rsidP="00D86B41">
    <w:pPr>
      <w:jc w:val="center"/>
      <w:rPr>
        <w:rFonts w:eastAsia="Calibri"/>
        <w:b/>
        <w:sz w:val="18"/>
        <w:szCs w:val="22"/>
        <w:lang w:eastAsia="en-US"/>
      </w:rPr>
    </w:pPr>
    <w:r w:rsidRPr="000271DC">
      <w:rPr>
        <w:rFonts w:eastAsia="Calibri"/>
        <w:b/>
        <w:sz w:val="18"/>
        <w:szCs w:val="22"/>
        <w:lang w:eastAsia="en-US"/>
      </w:rPr>
      <w:t>Споразумение за изпълнение на СВОМР №РД50-40/24.04.2018 г.</w:t>
    </w:r>
  </w:p>
  <w:p w:rsidR="00D86B41" w:rsidRPr="000271DC" w:rsidRDefault="00D86B41" w:rsidP="00D86B41">
    <w:pPr>
      <w:jc w:val="center"/>
      <w:rPr>
        <w:rFonts w:eastAsia="Calibri"/>
        <w:sz w:val="18"/>
        <w:szCs w:val="22"/>
        <w:lang w:val="en-US" w:eastAsia="en-US"/>
      </w:rPr>
    </w:pPr>
    <w:r w:rsidRPr="000271DC">
      <w:rPr>
        <w:rFonts w:eastAsia="Calibri"/>
        <w:sz w:val="18"/>
        <w:szCs w:val="22"/>
        <w:lang w:eastAsia="en-US"/>
      </w:rPr>
      <w:t>Сдружение „Местна инициативна група –Лом“,</w:t>
    </w:r>
    <w:proofErr w:type="spellStart"/>
    <w:r w:rsidRPr="000271DC">
      <w:rPr>
        <w:rFonts w:eastAsia="Calibri"/>
        <w:sz w:val="18"/>
        <w:szCs w:val="22"/>
        <w:lang w:eastAsia="en-US"/>
      </w:rPr>
      <w:t>гр.Лом</w:t>
    </w:r>
    <w:proofErr w:type="spellEnd"/>
    <w:r w:rsidRPr="000271DC">
      <w:rPr>
        <w:rFonts w:eastAsia="Calibri"/>
        <w:sz w:val="18"/>
        <w:szCs w:val="22"/>
        <w:lang w:eastAsia="en-US"/>
      </w:rPr>
      <w:t xml:space="preserve">,  </w:t>
    </w:r>
    <w:proofErr w:type="spellStart"/>
    <w:r w:rsidRPr="000271DC">
      <w:rPr>
        <w:rFonts w:eastAsia="Calibri"/>
        <w:sz w:val="18"/>
        <w:szCs w:val="22"/>
        <w:lang w:eastAsia="en-US"/>
      </w:rPr>
      <w:t>ул</w:t>
    </w:r>
    <w:proofErr w:type="spellEnd"/>
    <w:r w:rsidRPr="000271DC">
      <w:rPr>
        <w:rFonts w:eastAsia="Calibri"/>
        <w:sz w:val="18"/>
        <w:szCs w:val="22"/>
        <w:lang w:eastAsia="en-US"/>
      </w:rPr>
      <w:t>.“Георги Манафски“ № 19, ет.2</w:t>
    </w:r>
  </w:p>
  <w:p w:rsidR="00D86B41" w:rsidRPr="000271DC" w:rsidRDefault="00D86B41" w:rsidP="00D86B41">
    <w:pPr>
      <w:jc w:val="center"/>
      <w:rPr>
        <w:rFonts w:eastAsia="Calibri"/>
        <w:sz w:val="18"/>
        <w:szCs w:val="22"/>
        <w:lang w:eastAsia="en-US"/>
      </w:rPr>
    </w:pPr>
    <w:r w:rsidRPr="000271DC">
      <w:rPr>
        <w:rFonts w:eastAsia="Calibri"/>
        <w:b/>
        <w:sz w:val="18"/>
        <w:szCs w:val="22"/>
        <w:lang w:eastAsia="en-US"/>
      </w:rPr>
      <w:t xml:space="preserve"> тел:</w:t>
    </w:r>
    <w:r w:rsidRPr="000271DC">
      <w:rPr>
        <w:rFonts w:eastAsia="Calibri"/>
        <w:b/>
        <w:sz w:val="18"/>
        <w:szCs w:val="22"/>
        <w:lang w:val="en-US" w:eastAsia="en-US"/>
      </w:rPr>
      <w:t xml:space="preserve"> </w:t>
    </w:r>
    <w:r w:rsidRPr="000271DC">
      <w:rPr>
        <w:rFonts w:eastAsia="Calibri"/>
        <w:sz w:val="18"/>
        <w:szCs w:val="22"/>
        <w:lang w:eastAsia="en-US"/>
      </w:rPr>
      <w:t>0971/2 90 02</w:t>
    </w:r>
    <w:r w:rsidRPr="000271DC">
      <w:rPr>
        <w:rFonts w:eastAsia="Calibri"/>
        <w:sz w:val="18"/>
        <w:szCs w:val="22"/>
        <w:lang w:val="en-US" w:eastAsia="en-US"/>
      </w:rPr>
      <w:t xml:space="preserve"> </w:t>
    </w:r>
    <w:r w:rsidRPr="000271DC">
      <w:rPr>
        <w:rFonts w:eastAsia="Calibri"/>
        <w:b/>
        <w:sz w:val="18"/>
        <w:szCs w:val="22"/>
        <w:lang w:eastAsia="en-US"/>
      </w:rPr>
      <w:t>е-</w:t>
    </w:r>
    <w:proofErr w:type="spellStart"/>
    <w:r w:rsidRPr="000271DC">
      <w:rPr>
        <w:rFonts w:eastAsia="Calibri"/>
        <w:b/>
        <w:sz w:val="18"/>
        <w:szCs w:val="22"/>
        <w:lang w:eastAsia="en-US"/>
      </w:rPr>
      <w:t>mail</w:t>
    </w:r>
    <w:proofErr w:type="spellEnd"/>
    <w:r w:rsidRPr="000271DC">
      <w:rPr>
        <w:rFonts w:eastAsia="Calibri"/>
        <w:b/>
        <w:sz w:val="18"/>
        <w:szCs w:val="22"/>
        <w:lang w:eastAsia="en-US"/>
      </w:rPr>
      <w:t xml:space="preserve">: </w:t>
    </w:r>
    <w:r w:rsidRPr="000271DC">
      <w:rPr>
        <w:rFonts w:eastAsia="Calibri"/>
        <w:sz w:val="18"/>
        <w:szCs w:val="22"/>
        <w:lang w:eastAsia="en-US"/>
      </w:rPr>
      <w:t>office@miglom.org  ,</w:t>
    </w:r>
    <w:r w:rsidRPr="000271DC">
      <w:rPr>
        <w:rFonts w:eastAsia="Calibri"/>
        <w:b/>
        <w:sz w:val="18"/>
        <w:szCs w:val="22"/>
        <w:lang w:eastAsia="en-US"/>
      </w:rPr>
      <w:t xml:space="preserve"> </w:t>
    </w:r>
    <w:proofErr w:type="spellStart"/>
    <w:r w:rsidRPr="000271DC">
      <w:rPr>
        <w:rFonts w:eastAsia="Calibri"/>
        <w:b/>
        <w:sz w:val="18"/>
        <w:szCs w:val="22"/>
        <w:lang w:eastAsia="en-US"/>
      </w:rPr>
      <w:t>email</w:t>
    </w:r>
    <w:proofErr w:type="spellEnd"/>
    <w:r w:rsidRPr="000271DC">
      <w:rPr>
        <w:rFonts w:eastAsia="Calibri"/>
        <w:b/>
        <w:sz w:val="18"/>
        <w:szCs w:val="22"/>
        <w:lang w:eastAsia="en-US"/>
      </w:rPr>
      <w:t>:</w:t>
    </w:r>
    <w:r w:rsidRPr="000271DC">
      <w:rPr>
        <w:rFonts w:eastAsia="Calibri"/>
        <w:sz w:val="18"/>
        <w:szCs w:val="22"/>
        <w:lang w:eastAsia="en-US"/>
      </w:rPr>
      <w:t xml:space="preserve"> miglom@abv.bg</w:t>
    </w:r>
  </w:p>
  <w:p w:rsidR="00D86B41" w:rsidRPr="000271DC" w:rsidRDefault="00D86B41" w:rsidP="00D86B41">
    <w:pPr>
      <w:jc w:val="center"/>
      <w:rPr>
        <w:rFonts w:eastAsia="Calibri"/>
        <w:b/>
        <w:sz w:val="20"/>
        <w:szCs w:val="22"/>
        <w:lang w:eastAsia="en-US"/>
      </w:rPr>
    </w:pPr>
    <w:hyperlink r:id="rId1" w:history="1">
      <w:r w:rsidRPr="000271DC">
        <w:rPr>
          <w:rStyle w:val="ae"/>
          <w:rFonts w:eastAsia="Calibri"/>
          <w:b/>
          <w:sz w:val="20"/>
          <w:szCs w:val="22"/>
          <w:lang w:eastAsia="en-US"/>
        </w:rPr>
        <w:t>www.miglom.org</w:t>
      </w:r>
    </w:hyperlink>
  </w:p>
  <w:p w:rsidR="000B4642" w:rsidRDefault="000B4642">
    <w:pPr>
      <w:pStyle w:val="ac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642" w:rsidRDefault="000B464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78A" w:rsidRDefault="002C078A" w:rsidP="000B4642">
      <w:r>
        <w:separator/>
      </w:r>
    </w:p>
  </w:footnote>
  <w:footnote w:type="continuationSeparator" w:id="0">
    <w:p w:rsidR="002C078A" w:rsidRDefault="002C078A" w:rsidP="000B4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642" w:rsidRDefault="000B464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6E3" w:rsidRDefault="00B856E3" w:rsidP="00B856E3">
    <w:pPr>
      <w:pStyle w:val="aa"/>
      <w:jc w:val="center"/>
    </w:pPr>
    <w:r>
      <w:rPr>
        <w:noProof/>
      </w:rPr>
      <w:drawing>
        <wp:inline distT="0" distB="0" distL="0" distR="0">
          <wp:extent cx="5609590" cy="6572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856E3" w:rsidRPr="00190407" w:rsidRDefault="00B856E3" w:rsidP="003F41D8">
    <w:pPr>
      <w:tabs>
        <w:tab w:val="center" w:pos="4536"/>
        <w:tab w:val="right" w:pos="9072"/>
      </w:tabs>
      <w:jc w:val="center"/>
      <w:rPr>
        <w:color w:val="595959"/>
        <w:sz w:val="18"/>
        <w:szCs w:val="20"/>
        <w:lang w:val="en-US" w:eastAsia="x-none"/>
      </w:rPr>
    </w:pPr>
    <w:r w:rsidRPr="00190407">
      <w:rPr>
        <w:color w:val="595959"/>
        <w:sz w:val="18"/>
        <w:szCs w:val="20"/>
        <w:lang w:val="en-US" w:eastAsia="x-none"/>
      </w:rPr>
      <w:t>ПРОГРАМА ЗА РАЗВИТИЕ НА СЕЛСКИТЕ РАЙОНИ   2014 – 2020 г.</w:t>
    </w:r>
  </w:p>
  <w:p w:rsidR="00B856E3" w:rsidRPr="00190407" w:rsidRDefault="00B856E3" w:rsidP="003F41D8">
    <w:pPr>
      <w:tabs>
        <w:tab w:val="center" w:pos="4536"/>
        <w:tab w:val="right" w:pos="9072"/>
      </w:tabs>
      <w:jc w:val="center"/>
      <w:rPr>
        <w:color w:val="595959"/>
        <w:sz w:val="18"/>
        <w:szCs w:val="20"/>
        <w:lang w:val="en-US" w:eastAsia="x-none"/>
      </w:rPr>
    </w:pPr>
    <w:r w:rsidRPr="00190407">
      <w:rPr>
        <w:color w:val="595959"/>
        <w:sz w:val="18"/>
        <w:szCs w:val="20"/>
        <w:lang w:val="en-US" w:eastAsia="x-none"/>
      </w:rPr>
      <w:t>ЕВРОПЕЙСКИ ЗЕМЕДЕЛСКИ ФОНД ЗА РАЗВИТИЕ НА СЕЛСКИТЕ РАЙОНИ</w:t>
    </w:r>
  </w:p>
  <w:p w:rsidR="00B856E3" w:rsidRPr="00190407" w:rsidRDefault="002C078A" w:rsidP="003F41D8">
    <w:pPr>
      <w:tabs>
        <w:tab w:val="center" w:pos="4536"/>
        <w:tab w:val="right" w:pos="9072"/>
      </w:tabs>
      <w:jc w:val="center"/>
      <w:rPr>
        <w:color w:val="595959"/>
        <w:sz w:val="20"/>
        <w:szCs w:val="20"/>
        <w:lang w:val="en-US" w:eastAsia="x-none"/>
      </w:rPr>
    </w:pPr>
    <w:r>
      <w:rPr>
        <w:noProof/>
        <w:color w:val="595959"/>
        <w:sz w:val="18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.4pt;margin-top:14.5pt;width:446.65pt;height:0;z-index:251659264" o:connectortype="straight"/>
      </w:pict>
    </w:r>
    <w:r w:rsidR="00B856E3" w:rsidRPr="00190407">
      <w:rPr>
        <w:color w:val="595959"/>
        <w:sz w:val="18"/>
        <w:szCs w:val="20"/>
        <w:lang w:val="en-US" w:eastAsia="x-none"/>
      </w:rPr>
      <w:t>ЕВРОПА ИНВЕСТИРА В СЕЛСКИТЕ РАЙОНИ</w:t>
    </w:r>
  </w:p>
  <w:p w:rsidR="000B4642" w:rsidRDefault="003F41D8">
    <w:pPr>
      <w:pStyle w:val="aa"/>
    </w:pPr>
    <w: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642" w:rsidRDefault="000B464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878"/>
    <w:rsid w:val="00086612"/>
    <w:rsid w:val="000B4642"/>
    <w:rsid w:val="002C078A"/>
    <w:rsid w:val="003E71BC"/>
    <w:rsid w:val="003F41D8"/>
    <w:rsid w:val="004230CE"/>
    <w:rsid w:val="00471C61"/>
    <w:rsid w:val="00485253"/>
    <w:rsid w:val="00553EB7"/>
    <w:rsid w:val="00666926"/>
    <w:rsid w:val="008A0FEA"/>
    <w:rsid w:val="008D563B"/>
    <w:rsid w:val="00981B34"/>
    <w:rsid w:val="009D3EE4"/>
    <w:rsid w:val="00A12591"/>
    <w:rsid w:val="00B7050B"/>
    <w:rsid w:val="00B856E3"/>
    <w:rsid w:val="00C61223"/>
    <w:rsid w:val="00D54D6C"/>
    <w:rsid w:val="00D86B41"/>
    <w:rsid w:val="00E83D23"/>
    <w:rsid w:val="00ED6DAC"/>
    <w:rsid w:val="00F14878"/>
    <w:rsid w:val="00F6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6D74C28-9B17-4864-97BE-C2579CEC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F14878"/>
    <w:pPr>
      <w:spacing w:before="100" w:beforeAutospacing="1" w:after="100" w:afterAutospacing="1"/>
    </w:pPr>
  </w:style>
  <w:style w:type="paragraph" w:customStyle="1" w:styleId="htcenter">
    <w:name w:val="htcenter"/>
    <w:basedOn w:val="a"/>
    <w:rsid w:val="00F14878"/>
    <w:pPr>
      <w:spacing w:before="100" w:beforeAutospacing="1" w:after="100" w:afterAutospacing="1"/>
      <w:jc w:val="center"/>
    </w:pPr>
  </w:style>
  <w:style w:type="character" w:styleId="a3">
    <w:name w:val="annotation reference"/>
    <w:basedOn w:val="a0"/>
    <w:uiPriority w:val="99"/>
    <w:semiHidden/>
    <w:unhideWhenUsed/>
    <w:rsid w:val="00D54D6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54D6C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D54D6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54D6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D54D6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D54D6C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4D6C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header"/>
    <w:basedOn w:val="a"/>
    <w:link w:val="ab"/>
    <w:unhideWhenUsed/>
    <w:rsid w:val="000B4642"/>
    <w:pPr>
      <w:tabs>
        <w:tab w:val="center" w:pos="4680"/>
        <w:tab w:val="right" w:pos="9360"/>
      </w:tabs>
    </w:pPr>
  </w:style>
  <w:style w:type="character" w:customStyle="1" w:styleId="ab">
    <w:name w:val="Горен колонтитул Знак"/>
    <w:basedOn w:val="a0"/>
    <w:link w:val="aa"/>
    <w:uiPriority w:val="99"/>
    <w:rsid w:val="000B464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c">
    <w:name w:val="footer"/>
    <w:basedOn w:val="a"/>
    <w:link w:val="ad"/>
    <w:uiPriority w:val="99"/>
    <w:unhideWhenUsed/>
    <w:rsid w:val="000B4642"/>
    <w:pPr>
      <w:tabs>
        <w:tab w:val="center" w:pos="4680"/>
        <w:tab w:val="right" w:pos="9360"/>
      </w:tabs>
    </w:pPr>
  </w:style>
  <w:style w:type="character" w:customStyle="1" w:styleId="ad">
    <w:name w:val="Долен колонтитул Знак"/>
    <w:basedOn w:val="a0"/>
    <w:link w:val="ac"/>
    <w:uiPriority w:val="99"/>
    <w:rsid w:val="000B464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e">
    <w:name w:val="Hyperlink"/>
    <w:rsid w:val="00D86B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D:\Rabotna\AppData\Local\Temp\www.miglom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computer</cp:lastModifiedBy>
  <cp:revision>7</cp:revision>
  <dcterms:created xsi:type="dcterms:W3CDTF">2018-05-27T16:57:00Z</dcterms:created>
  <dcterms:modified xsi:type="dcterms:W3CDTF">2020-11-26T07:29:00Z</dcterms:modified>
</cp:coreProperties>
</file>